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Digital Operating Model — First Findings</w:t>
      </w:r>
    </w:p>
    <w:p>
      <w:r>
        <w:t>Minutes taken by Jason Torres. Subject: the digital operating model engagement for Scott, Smith and Edwards, first working session with the client team.</w:t>
      </w:r>
    </w:p>
    <w:p>
      <w:pPr>
        <w:pStyle w:val="Heading2"/>
      </w:pPr>
      <w:r>
        <w:t>In the room</w:t>
      </w:r>
    </w:p>
    <w:p>
      <w:pPr>
        <w:pStyle w:val="ListBullet"/>
      </w:pPr>
      <w:r>
        <w:t>Jason Torres, Principal, Advisory</w:t>
      </w:r>
    </w:p>
    <w:p>
      <w:pPr>
        <w:pStyle w:val="ListBullet"/>
      </w:pPr>
      <w:r>
        <w:t>Deborah Allen, Consultant, Advisory</w:t>
      </w:r>
    </w:p>
    <w:p>
      <w:pPr>
        <w:pStyle w:val="ListBullet"/>
      </w:pPr>
      <w:r>
        <w:t>Melissa Johnson, General Manager, Scott, Smith and Edwards</w:t>
      </w:r>
    </w:p>
    <w:p>
      <w:pPr>
        <w:pStyle w:val="Heading2"/>
      </w:pPr>
      <w:r>
        <w:t>Where the work stands</w:t>
      </w:r>
    </w:p>
    <w:p>
      <w:r>
        <w:t>I opened by stating the finding, because it is already clear enough to build on: the channel's problem is ownership, not technology. We are roughly at the midpoint of the work, the current-state map is nearly closed, and everywhere it is closed it points the same way. Orders are taken by one group and filled by another, and between them sits a hand-off that no single manager owns. Deborah Allen walked the table through the order path she has drawn, one screen at a time, and the group followed it against a set of real orders from last month. The delay and the complaints both collect at the same seam, the point where the order leaves the team that sold it and reaches the team that ships it, and nobody in the room could name the person who owns the order while it sits in that gap.</w:t>
      </w:r>
    </w:p>
    <w:p>
      <w:pPr>
        <w:pStyle w:val="Heading2"/>
      </w:pPr>
      <w:r>
        <w:t>What the numbers say</w:t>
      </w:r>
    </w:p>
    <w:p>
      <w:r>
        <w:t>Deborah Allen took the group through the cost and service data, and two figures did most of the arguing. The service tickets tied to online orders cluster in the day after purchase, and most are customers asking where their order is rather than reporting a fault, which puts the cost of the seam in plain view: the channel is paying people to answer for a delay it could have prevented. And the cost of running the channel is spread across three functions, with none of them accountable for the total, which is why, Melissa Johnson noted, the monthly number has been so hard for her office to close. She said her finance team can produce any one function's cost on request but has never been asked to add them into a single figure for the channel, because no one has owned that figure. I said what I think follows from all of it: until one role owns the channel result end to end, the company keeps paying for the gap in service cost and in rework, and no change to the systems fixes that on its own. The table did not argue the point, which I take as agreement rather than as the end of the discussion.</w:t>
      </w:r>
    </w:p>
    <w:p>
      <w:pPr>
        <w:pStyle w:val="Heading2"/>
      </w:pPr>
      <w:r>
        <w:t>What we settled and what stays open</w:t>
      </w:r>
    </w:p>
    <w:p>
      <w:r>
        <w:t>We agreed the current-state map is close enough to brief the wider leadership, with the last two interviews still to be folded in. Melissa Johnson asked us to hold any talk of a specific structure until the target model is designed and tested, and I agreed; a structure floated early gets argued about before it is understood, and we would spend the back half of the engagement defending a sketch instead of building the real design. Two questions stay open. The first is the technology group's place in the target model, which we will not settle until the design work is done. The second is how far the ownership problem reaches beyond the web channel into the rest of the order business; the interviews hint that it does, and we will test that before we draw the target model rather than assume it.</w:t>
      </w:r>
    </w:p>
    <w:p>
      <w:pPr>
        <w:pStyle w:val="Heading2"/>
      </w:pPr>
      <w:r>
        <w:t>Who does what next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 when</w:t>
            </w:r>
          </w:p>
        </w:tc>
      </w:tr>
      <w:tr>
        <w:tc>
          <w:tcPr>
            <w:tcW w:type="dxa" w:w="2880"/>
          </w:tcPr>
          <w:p>
            <w:r>
              <w:t>Fold the last two channel interviews into the current-state map and close it</w:t>
            </w:r>
          </w:p>
        </w:tc>
        <w:tc>
          <w:tcPr>
            <w:tcW w:type="dxa" w:w="2880"/>
          </w:tcPr>
          <w:p>
            <w:r>
              <w:t>Deborah Allen</w:t>
            </w:r>
          </w:p>
        </w:tc>
        <w:tc>
          <w:tcPr>
            <w:tcW w:type="dxa" w:w="2880"/>
          </w:tcPr>
          <w:p>
            <w:r>
              <w:t>Before the next working session</w:t>
            </w:r>
          </w:p>
        </w:tc>
      </w:tr>
      <w:tr>
        <w:tc>
          <w:tcPr>
            <w:tcW w:type="dxa" w:w="2880"/>
          </w:tcPr>
          <w:p>
            <w:r>
              <w:t>Pull the escalation notes on recent online orders and tie them to the cost view</w:t>
            </w:r>
          </w:p>
        </w:tc>
        <w:tc>
          <w:tcPr>
            <w:tcW w:type="dxa" w:w="2880"/>
          </w:tcPr>
          <w:p>
            <w:r>
              <w:t>Melissa Johnson</w:t>
            </w:r>
          </w:p>
        </w:tc>
        <w:tc>
          <w:tcPr>
            <w:tcW w:type="dxa" w:w="2880"/>
          </w:tcPr>
          <w:p>
            <w:r>
              <w:t>End of next week</w:t>
            </w:r>
          </w:p>
        </w:tc>
      </w:tr>
      <w:tr>
        <w:tc>
          <w:tcPr>
            <w:tcW w:type="dxa" w:w="2880"/>
          </w:tcPr>
          <w:p>
            <w:r>
              <w:t>Draft the two or three target-model options, for discussion and not for decision</w:t>
            </w:r>
          </w:p>
        </w:tc>
        <w:tc>
          <w:tcPr>
            <w:tcW w:type="dxa" w:w="2880"/>
          </w:tcPr>
          <w:p>
            <w:r>
              <w:t>Jason Torres</w:t>
            </w:r>
          </w:p>
        </w:tc>
        <w:tc>
          <w:tcPr>
            <w:tcW w:type="dxa" w:w="2880"/>
          </w:tcPr>
          <w:p>
            <w:r>
              <w:t>For the next session</w:t>
            </w:r>
          </w:p>
        </w:tc>
      </w:tr>
      <w:tr>
        <w:tc>
          <w:tcPr>
            <w:tcW w:type="dxa" w:w="2880"/>
          </w:tcPr>
          <w:p>
            <w:r>
              <w:t>Keep the current-state findings inside this group until the leadership briefing</w:t>
            </w:r>
          </w:p>
        </w:tc>
        <w:tc>
          <w:tcPr>
            <w:tcW w:type="dxa" w:w="2880"/>
          </w:tcPr>
          <w:p>
            <w:r>
              <w:t>Jason Torres</w:t>
            </w:r>
          </w:p>
        </w:tc>
        <w:tc>
          <w:tcPr>
            <w:tcW w:type="dxa" w:w="2880"/>
          </w:tcPr>
          <w:p>
            <w:r>
              <w:t>Ongoing</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Digital Operating Model for Scott, Smith and Edwards</dc:title>
  <dc:subject/>
  <dc:creator>Jason Torres</dc:creator>
  <cp:keywords/>
  <dc:description>generated by python-docx</dc:description>
  <cp:lastModifiedBy>Jason Torres</cp:lastModifiedBy>
  <cp:revision>1</cp:revision>
  <dcterms:created xsi:type="dcterms:W3CDTF">2011-03-25T09:00:00Z</dcterms:created>
  <dcterms:modified xsi:type="dcterms:W3CDTF">2011-03-25T09:00:00Z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