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Minutes: Service Delivery Redesign Working Session</w:t>
      </w:r>
    </w:p>
    <w:p>
      <w:r>
        <w:t>Session held to review the revised design for Scott, Smith and Edwards in near-final form and to work through the transition plan.</w:t>
      </w:r>
    </w:p>
    <w:p>
      <w:pPr>
        <w:pStyle w:val="Heading2"/>
      </w:pPr>
      <w:r>
        <w:t>Attendees</w:t>
      </w:r>
    </w:p>
    <w:p>
      <w:pPr>
        <w:pStyle w:val="ListBullet"/>
      </w:pPr>
      <w:r>
        <w:t>Jason Torres, Principal, Calderwood Partners</w:t>
      </w:r>
    </w:p>
    <w:p>
      <w:pPr>
        <w:pStyle w:val="ListBullet"/>
      </w:pPr>
      <w:r>
        <w:t>Julie Vasquez, Research Associate, Calderwood Partners</w:t>
      </w:r>
    </w:p>
    <w:p>
      <w:pPr>
        <w:pStyle w:val="ListBullet"/>
      </w:pPr>
      <w:r>
        <w:t>Melissa Johnson, General Manager, Scott, Smith and Edwards</w:t>
      </w:r>
    </w:p>
    <w:p>
      <w:pPr>
        <w:pStyle w:val="Heading2"/>
      </w:pPr>
      <w:r>
        <w:t>Summary of discussion</w:t>
      </w:r>
    </w:p>
    <w:p>
      <w:r>
        <w:t>Julie Vasquez presented the revised design in close to final form, together with the quantified case built from the agreed baseline. The redesign of the two priority handoffs removes the larger part of the waiting time between stages and the rework cost tied to incomplete handoffs, and it does so without loosening any of the service commitments the client holds. The design was tested against the year-end seasonal peak, as the group agreed at the previous working session, and it holds at peak volumes, with one stage requiring a modest temporary staffing shift to do so.</w:t>
      </w:r>
    </w:p>
    <w:p>
      <w:r>
        <w:t>Melissa Johnson reported that the client managers who run the affected stages had reviewed the draft and were, on balance, supportive, with two practical concerns: the temporary staffing shift at peak, and the training the new handoff procedure would require. The group agreed that neither concern changes the design, but that both belong in the transition plan rather than being left to sort themselves out at rollout.</w:t>
      </w:r>
    </w:p>
    <w:p>
      <w:r>
        <w:t>The remainder of the session was given to the transition. We worked through the sequence in which the changes should be made and agreed that the two handoffs should be changed one at a time rather than together, so that the first can be observed and corrected before the second is disturbed. Julie Vasquez will build the transition plan around that sequence, with the training and the peak staffing shift written into it as prerequisites and not afterthoughts. The plan, rather than a further round of design, is now the critical path to closing the engagement.</w:t>
      </w:r>
    </w:p>
    <w:p>
      <w:r>
        <w:t>Two items were left open and recorded. The exact peak-period staffing number depends on volumes the client is still finalizing for the coming quarter, and the training approach, whether it is delivered in a single session or folded into normal supervision, is a choice the client's managers are better placed to make than we are. Neither blocks the transition plan, but both need an answer before rollout.</w:t>
      </w:r>
    </w:p>
    <w:p>
      <w:r>
        <w:t>I asked the group to treat the design as settled from this point. Reopening it now would cost more than the marginal improvement it might buy, and the value left in the engagement lies in a transition plan the client can actually execute. Melissa Johnson agreed the design is closed for the purpose of building that plan.</w:t>
      </w:r>
    </w:p>
    <w:p>
      <w:r>
        <w:t>Looking to the close, two deliverables remain: the transition plan and a final recommendation for the client's leadership, the latter to be presented to the wider group once the plan is complete. Julie Vasquez will lead the plan and I will lead the recommendation, both drawing on the same quantified case the group reviewed today. Melissa Johnson will confirm who on the client side should be in the room for the final briefing.</w:t>
      </w:r>
    </w:p>
    <w:p>
      <w:pPr>
        <w:pStyle w:val="Heading2"/>
      </w:pPr>
      <w:r>
        <w:t>Action items</w:t>
      </w:r>
    </w:p>
    <w:p>
      <w:pPr>
        <w:pStyle w:val="ListBullet"/>
      </w:pPr>
      <w:r>
        <w:t>Build the transition plan around a one-handoff-at-a-time sequence, with training and peak staffing written in as prerequisites. Owner: Julie Vasquez.</w:t>
      </w:r>
    </w:p>
    <w:p>
      <w:pPr>
        <w:pStyle w:val="ListBullet"/>
      </w:pPr>
      <w:r>
        <w:t>Confirm the temporary staffing available for the peak period and the training window with the affected managers. Owner: Melissa Johnson.</w:t>
      </w:r>
    </w:p>
    <w:p>
      <w:pPr>
        <w:pStyle w:val="ListBullet"/>
      </w:pPr>
      <w:r>
        <w:t>Draft the final recommendation for client leadership, built on the settled design and the transition plan. Owner: Jason Torres.</w:t>
      </w:r>
    </w:p>
    <w:p>
      <w:pPr>
        <w:pStyle w:val="ListBullet"/>
      </w:pPr>
      <w:r>
        <w:t>Circulate the quantified benefit case, reconciled to the baseline, to the client team. Owner: Julie Vasquez.</w:t>
      </w:r>
    </w:p>
    <w:p>
      <w:r>
        <w:t>The next session will review the transition plan and the draft recommendation. Recorded by Jason Torres.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Service Delivery Redesign for Scott, Smith and Edwards</dc:title>
  <dc:subject/>
  <dc:creator>Jason Torres</dc:creator>
  <cp:keywords/>
  <dc:description>generated by python-docx</dc:description>
  <cp:lastModifiedBy>Jason Torres</cp:lastModifiedBy>
  <cp:revision>1</cp:revision>
  <dcterms:created xsi:type="dcterms:W3CDTF">2020-09-08T09:00:00Z</dcterms:created>
  <dcterms:modified xsi:type="dcterms:W3CDTF">2020-09-08T09:00:00Z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