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Organization Design engagement team</w:t>
        <w:br/>
        <w:t>From: Julie Parks</w:t>
        <w:br/>
        <w:t>Re: Stark-Wilson kickoff</w:t>
      </w:r>
    </w:p>
    <w:p>
      <w:r>
        <w:t>Where we stand: the letter is signed, our start date is May 10, 2011, and Stark-Wilson has named Julie Gonzalez, their Director of Operations, as our sponsor and the person who clears our access on site. The engagement is an organization design. We diagnose how the company is run today, put forward a target structure with its decision rights and governance, and set out a plan to move from one to the other. This memo lays out the tracks of work and who owns each of them in the opening weeks. Read the ownership as a starting point, not as walls; the first weeks are small enough that most of us will touch most of it. None of this is a finding yet. The job right now is to get the data in, get the interviews booked, and set the baseline on a footing we can defend later.</w:t>
      </w:r>
    </w:p>
    <w:p>
      <w:r>
        <w:t>We work from their numbers, not from a design carried in from another client. Anything we later put in front of the leadership has to trace back to a chart or a report they already keep, so keep the early notes clean and sourced from the day they come in. That discipline is slower at the start, and it is what makes the recommendation hold when someone pushes hard on it later.</w:t>
      </w:r>
    </w:p>
    <w:p>
      <w:r>
        <w:t>On the client side, Julie Gonzalez is our single point of contact for data and access. Route requests through her rather than going straight to the functions. It keeps the asks coordinated, and it keeps her able to answer for what we have and have not been given. She has also asked that we not characterize the structure to the business-unit heads before their own interviews, so the sessions stay diagnostic instead of turning into a defense of boxes. Hold to that.</w:t>
      </w:r>
    </w:p>
    <w:p>
      <w:pPr>
        <w:pStyle w:val="Heading2"/>
      </w:pPr>
      <w:r>
        <w:t>Tracks</w:t>
      </w:r>
    </w:p>
    <w:p>
      <w:pPr>
        <w:pStyle w:val="ListBullet"/>
      </w:pPr>
      <w:r>
        <w:t>Baseline. Collect the current organization charts and the last two years of management reporting, then build a headcount and cost view that ties back to figures the client already recognizes. I will route the data request through Julie Gonzalez so it carries her authority when it lands with the functions. Every number we later show has to trace to a line in their own reporting, so log the source as you go.</w:t>
      </w:r>
    </w:p>
    <w:p>
      <w:pPr>
        <w:pStyle w:val="ListBullet"/>
      </w:pPr>
      <w:r>
        <w:t>Interviews. Build the interview list from the leadership team and book the first round. Deborah Gordon owns the schedule and will sit in on every session, so the notes stay consistent no matter who is asking the questions. Keep the questions the same across interviewers; we want to compare answers, not styles.</w:t>
      </w:r>
    </w:p>
    <w:p>
      <w:pPr>
        <w:pStyle w:val="ListBullet"/>
      </w:pPr>
      <w:r>
        <w:t>Decision rights. Lay the current decision rights against the reporting structure and mark every place the two disagree. Deborah Gordon takes the first draft of the map; I will review it before any of it goes near the client. The gaps are the point, so note who actually makes each call, not who the chart says should.</w:t>
      </w:r>
    </w:p>
    <w:p>
      <w:pPr>
        <w:pStyle w:val="ListBullet"/>
      </w:pPr>
      <w:r>
        <w:t>Governance. Catalog the standing meetings and committees and what each one is meant to decide. This feeds the target design and can run a step behind the other three without holding anything up, but do not let it drop; the committees are where the drift usually hides.</w:t>
      </w:r>
    </w:p>
    <w:p>
      <w:pPr>
        <w:pStyle w:val="Heading2"/>
      </w:pPr>
      <w:r>
        <w:t>First two weeks</w:t>
      </w:r>
    </w:p>
    <w:p>
      <w:pPr>
        <w:pStyle w:val="ListBullet"/>
      </w:pPr>
      <w:r>
        <w:t>Data request to Julie Gonzalez by Friday, with the exact file list attached so nothing comes back half filled.</w:t>
      </w:r>
    </w:p>
    <w:p>
      <w:pPr>
        <w:pStyle w:val="ListBullet"/>
      </w:pPr>
      <w:r>
        <w:t>Interview list drafted and circulated to the team for comment before a single invitation goes out.</w:t>
      </w:r>
    </w:p>
    <w:p>
      <w:pPr>
        <w:pStyle w:val="ListBullet"/>
      </w:pPr>
      <w:r>
        <w:t>Leadership kickoff call scheduled for the first full week we are on site.</w:t>
      </w:r>
    </w:p>
    <w:p>
      <w:pPr>
        <w:pStyle w:val="ListBullet"/>
      </w:pPr>
      <w:r>
        <w:t>Team check-in on the calendar, thirty minutes, twice a week, so no question waits a week for an answer.</w:t>
      </w:r>
    </w:p>
    <w:p>
      <w:r>
        <w:t>Flag anything unclear before Friday so the data request goes out clean the first time. Once the charts and the reporting are in, we meet to sort the first cut of the baseline and to fix the interview order from what the numbers show.</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Organization Design for Stark-Wilson</dc:title>
  <dc:subject/>
  <dc:creator>Julie Parks</dc:creator>
  <cp:keywords/>
  <dc:description>generated by python-docx</dc:description>
  <cp:lastModifiedBy>Julie Parks</cp:lastModifiedBy>
  <cp:revision>1</cp:revision>
  <dcterms:created xsi:type="dcterms:W3CDTF">2011-05-13T09:00:00Z</dcterms:created>
  <dcterms:modified xsi:type="dcterms:W3CDTF">2011-05-13T09:00:00Z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