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Organization Design for Stark-Wilson</w:t>
      </w:r>
    </w:p>
    <w:p>
      <w:r>
        <w:t>Prepared by Julie Parks, Senior Engagement Manager, Advisory, for the leadership team. In short, the engagement is at its midpoint. The current-state assessment is complete and confirmed with the client team, and the work is moving into the design of the target organization. What follows fills in that summary, sets out the coming work with an owner against each piece, and names the few items that could affect the schedule.</w:t>
      </w:r>
    </w:p>
    <w:p>
      <w:pPr>
        <w:pStyle w:val="Heading2"/>
      </w:pPr>
      <w:r>
        <w:t>Position at the midpoint</w:t>
      </w:r>
    </w:p>
    <w:p>
      <w:r>
        <w:t>The first half of the engagement was given over to establishing how Stark-Wilson is organized today. That assessment is now finished and has been confirmed with the client team, so both sides are working from the same picture of the current structure. The work turns from describing that structure to designing the one meant to replace parts of it. The scope set out in the engagement letter is unchanged, and the plan agreed at kickoff still holds. On budget, the hours spent are in line with the halfway point, and the engagement is running within the fixed fee of $90,500. Nothing found in the assessment gives us reason to reopen the scope or the fee.</w:t>
      </w:r>
    </w:p>
    <w:p>
      <w:pPr>
        <w:pStyle w:val="Heading2"/>
      </w:pPr>
      <w:r>
        <w:t>Closed since the working session</w:t>
      </w:r>
    </w:p>
    <w:p>
      <w:r>
        <w:t>The items below reached completion since the working session earlier this month and are ready for the client team to review.</w:t>
      </w:r>
    </w:p>
    <w:p>
      <w:pPr>
        <w:pStyle w:val="ListBullet"/>
      </w:pPr>
      <w:r>
        <w:t>The current-state organization map is finished. It records the reporting lines, the spans of control at each level, and the number of layers between the front line and the executive team across the functions in scope. We built it from the HR records and the charts Stark-Wilson provided, then checked it against how the work is actually run, so it shows the organization as it operates and not only the boxes on a chart.</w:t>
      </w:r>
    </w:p>
    <w:p>
      <w:pPr>
        <w:pStyle w:val="ListBullet"/>
      </w:pPr>
      <w:r>
        <w:t>The role and decision-rights inventory is complete. For each in-scope role we have set down what it is accountable for, what it can decide on its own, and where a decision has to travel upward. This is where most of the duplicated effort and the slow hand-offs surface, and it drew the most discussion at the working session.</w:t>
      </w:r>
    </w:p>
    <w:p>
      <w:pPr>
        <w:pStyle w:val="ListBullet"/>
      </w:pPr>
      <w:r>
        <w:t>The interview synthesis is closed. Deborah Gordon led it, pulling the themes from the leadership and front-line interviews together and reconciling them against the structural data, so the design starts from findings the client team has already agreed to.</w:t>
      </w:r>
    </w:p>
    <w:p>
      <w:pPr>
        <w:pStyle w:val="ListBullet"/>
      </w:pPr>
      <w:r>
        <w:t>A first set of design principles is on the table. We tested it in the working session, and it held up well enough to build the options on, with two points sent back for rework.</w:t>
      </w:r>
    </w:p>
    <w:p>
      <w:pPr>
        <w:pStyle w:val="Heading2"/>
      </w:pPr>
      <w:r>
        <w:t>The design phase</w:t>
      </w:r>
    </w:p>
    <w:p>
      <w:r>
        <w:t>The second half turns the assessment into a target organization the leadership team can decide on. The main pieces are below, each with the person who owns it.</w:t>
      </w:r>
    </w:p>
    <w:p>
      <w:pPr>
        <w:pStyle w:val="ListBullet"/>
      </w:pPr>
      <w:r>
        <w:t>Target structure options, owned by the engagement team. We will develop two or three structural options for the in-scope functions, each stating the reporting lines it implies, the spans and layers it sets, and where accountability would sit. The aim is to give leadership a real choice among structures, not to arrive with one already picked.</w:t>
      </w:r>
    </w:p>
    <w:p>
      <w:pPr>
        <w:pStyle w:val="ListBullet"/>
      </w:pPr>
      <w:r>
        <w:t>Role and decision-rights design, owned by Deborah Gordon. For the option leadership favors, she will write the role definitions and set out who decides what, so the structure comes with the rules that make it work.</w:t>
      </w:r>
    </w:p>
    <w:p>
      <w:pPr>
        <w:pStyle w:val="ListBullet"/>
      </w:pPr>
      <w:r>
        <w:t>Transition outline, owned by the engagement team. We will lay out the order in which the move to the chosen structure would happen, what each stage asks of the organization, and the decisions leadership would need to make along the way.</w:t>
      </w:r>
    </w:p>
    <w:p>
      <w:pPr>
        <w:pStyle w:val="ListBullet"/>
      </w:pPr>
      <w:r>
        <w:t>Design review, owned by Julie Parks. I will bring the options to a review with the leadership team and fold their direction into a single recommended structure.</w:t>
      </w:r>
    </w:p>
    <w:p>
      <w:pPr>
        <w:pStyle w:val="Heading2"/>
      </w:pPr>
      <w:r>
        <w:t>Items to watch</w:t>
      </w:r>
    </w:p>
    <w:p>
      <w:r>
        <w:t>A few things could affect the pace of the second half. None threatens the design at this point, but each is worth naming while there is still time to act on it.</w:t>
      </w:r>
    </w:p>
    <w:p>
      <w:pPr>
        <w:pStyle w:val="ListBullet"/>
      </w:pPr>
      <w:r>
        <w:t>Two of the in-scope functions sent their reporting data late, so the read on those areas is thinner than the rest. We do not expect it to change the structure. We will confirm that before the design review.</w:t>
      </w:r>
    </w:p>
    <w:p>
      <w:pPr>
        <w:pStyle w:val="ListBullet"/>
      </w:pPr>
      <w:r>
        <w:t>One decision sits with leadership and shapes the whole design: how far to standardize roles and structure across the business units, and where to leave room for local difference. We will bring a recommendation, but the direction is the client's to set, and an early steer would keep the options focused.</w:t>
      </w:r>
    </w:p>
    <w:p>
      <w:pPr>
        <w:pStyle w:val="ListBullet"/>
      </w:pPr>
      <w:r>
        <w:t>The working session left open where two functions should report. It does not hold up the assessment, but it needs a leadership decision before the transition outline is firm. I have raised it with the client sponsor and will carry it into the design review if it is still unsettled.</w:t>
      </w:r>
    </w:p>
    <w:p>
      <w:r>
        <w:t>The design options will be ready for the review on the schedule we set. The item most likely to affect that date is the standardization decision, and if it is still open at the next update I will say so. Questions on this report are best sent to me directly. I am also glad to walk the leadership team through the current thinking before the formal review.</w:t>
      </w:r>
    </w:p>
    <w:p>
      <w:r>
        <w:t>Julie Parks, Senior Engagement Manager, Advisory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Organization Design for Stark-Wilson</dc:title>
  <dc:subject/>
  <dc:creator>Julie Parks</dc:creator>
  <cp:keywords/>
  <dc:description>generated by python-docx</dc:description>
  <cp:lastModifiedBy>Julie Parks</cp:lastModifiedBy>
  <cp:revision>1</cp:revision>
  <dcterms:created xsi:type="dcterms:W3CDTF">2011-07-17T09:00:00Z</dcterms:created>
  <dcterms:modified xsi:type="dcterms:W3CDTF">2011-07-17T09:00:00Z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