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Deborah Jimenez</w:t>
        <w:br/>
        <w:t>From: Joseph Reed</w:t>
        <w:br/>
        <w:t>Re: Channel Strategy for Stark-Wilson, kickoff and plan of work</w:t>
      </w:r>
    </w:p>
    <w:p>
      <w:r>
        <w:t>The letter is countersigned and the engagement begins on April 1, 2020. This memo sets down what we are doing and how the work divides, so that we start from one plan rather than assemble it as we go. Our task is to work out how Stark-Wilson should sell and deliver across its channels: which channels carry which customers, what each one earns after the full cost of serving it, and which the company should lead with, hold, or change. Everything we recommend has to be built from Stark-Wilson's own sales and cost records, so that when we put a channel decision in front of them the evidence for it is theirs and not ours. The engagement runs about five months, so the early weeks carry weight: the baseline has to be right before the analysis can move. Deborah Jimenez runs the engagement and owns the line to the client; our client contact is Julie Gonzalez, Director of Operations, and requests to the client go through Deborah, not around her.</w:t>
      </w:r>
    </w:p>
    <w:p>
      <w:pPr>
        <w:pStyle w:val="Heading2"/>
      </w:pPr>
      <w:r>
        <w:t>How the work divides</w:t>
      </w:r>
    </w:p>
    <w:p>
      <w:pPr>
        <w:pStyle w:val="ListBullet"/>
      </w:pPr>
      <w:r>
        <w:t>1. Channel map and baseline. I will set out every channel the company sells through and pull the last two to three years of sales by channel, product line, and customer segment, so we have a single picture of what moves where. This is the foundation the rest depends on, and I will not build anything on top of it until it reconciles to the finance records.</w:t>
      </w:r>
    </w:p>
    <w:p>
      <w:pPr>
        <w:pStyle w:val="ListBullet"/>
      </w:pPr>
      <w:r>
        <w:t>2. Cost to serve. For each channel I will assemble the full cost of serving it, direct and indirect: sales coverage, order handling, logistics, returns, and support. Margin by channel means little until the cost to serve is set against it, so the two are built together.</w:t>
      </w:r>
    </w:p>
    <w:p>
      <w:pPr>
        <w:pStyle w:val="ListBullet"/>
      </w:pPr>
      <w:r>
        <w:t>3. Customer and segment view. I will map which customers each channel reaches and where the same customer is served through more than one, so we can see the overlap and the cost it carries.</w:t>
      </w:r>
    </w:p>
    <w:p>
      <w:pPr>
        <w:pStyle w:val="ListBullet"/>
      </w:pPr>
      <w:r>
        <w:t>4. Channel economics and options. Once the baseline and the cost to serve hold, we frame the options: which channels the numbers say to lead with, which to hold, and which to change or step back from. Deborah Jimenez and I take this together, and nothing here goes to the client before the baseline supports it.</w:t>
      </w:r>
    </w:p>
    <w:p>
      <w:pPr>
        <w:pStyle w:val="ListBullet"/>
      </w:pPr>
      <w:r>
        <w:t>5. Recommendation and roadmap. We turn the chosen direction into a plan Stark-Wilson can act on, with the sequence of changes and what each one asks of pricing, coverage, and support.</w:t>
      </w:r>
    </w:p>
    <w:p>
      <w:pPr>
        <w:pStyle w:val="Heading2"/>
      </w:pPr>
      <w:r>
        <w:t>First weeks</w:t>
      </w:r>
    </w:p>
    <w:p>
      <w:pPr>
        <w:pStyle w:val="ListBullet"/>
      </w:pPr>
      <w:r>
        <w:t>I will draft the data request this week: sales by channel and product, the cost lines behind each channel, and the field definitions attached, so the finance team and we are counting the same things. Deborah Jimenez reviews it before it goes to Julie Gonzalez.</w:t>
      </w:r>
    </w:p>
    <w:p>
      <w:pPr>
        <w:pStyle w:val="ListBullet"/>
      </w:pPr>
      <w:r>
        <w:t>We agree the list of people we need to interview inside the client before we ask for a single calendar slot, so access is settled once and not renegotiated later.</w:t>
      </w:r>
    </w:p>
    <w:p>
      <w:pPr>
        <w:pStyle w:val="ListBullet"/>
      </w:pPr>
      <w:r>
        <w:t>I will set up the first working session with Julie Gonzalez and her team. Given how sessions are running now, we should plan for that one to be held by video.</w:t>
      </w:r>
    </w:p>
    <w:p>
      <w:pPr>
        <w:pStyle w:val="ListBullet"/>
      </w:pPr>
      <w:r>
        <w:t>Nothing about any channel is characterized to anyone at Stark-Wilson until the baseline reconciles.</w:t>
      </w:r>
    </w:p>
    <w:p>
      <w:r>
        <w:t>The one thing I need settled this week is the data request and the interview list, both agreed with Deborah Jimenez and both sent to Julie Gonzalez. If the sales records come in clean, the baseline is the fast part; if they do not, that is where the schedule will be decided, and finding that out early is the point. I will circulate the data request in draft on Wednesday.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Channel Strategy for Stark-Wilson</dc:title>
  <dc:subject/>
  <dc:creator>Joseph Reed</dc:creator>
  <cp:keywords/>
  <dc:description>generated by python-docx</dc:description>
  <cp:lastModifiedBy>Joseph Reed</cp:lastModifiedBy>
  <cp:revision>1</cp:revision>
  <dcterms:created xsi:type="dcterms:W3CDTF">2020-04-04T09:00:00Z</dcterms:created>
  <dcterms:modified xsi:type="dcterms:W3CDTF">2020-04-04T09:00:00Z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