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Status Report: Channel Strategy for Stark-Wilson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Channel Strategy</w:t>
            </w:r>
          </w:p>
        </w:tc>
      </w:tr>
      <w:tr>
        <w:tc>
          <w:tcPr>
            <w:tcW w:type="dxa" w:w="4320"/>
          </w:tcPr>
          <w:p>
            <w:r>
              <w:t>Client</w:t>
            </w:r>
          </w:p>
        </w:tc>
        <w:tc>
          <w:tcPr>
            <w:tcW w:type="dxa" w:w="4320"/>
          </w:tcPr>
          <w:p>
            <w:r>
              <w:t>Stark-Wilson</w:t>
            </w:r>
          </w:p>
        </w:tc>
      </w:tr>
      <w:tr>
        <w:tc>
          <w:tcPr>
            <w:tcW w:type="dxa" w:w="4320"/>
          </w:tcPr>
          <w:p>
            <w:r>
              <w:t>Prepared for</w:t>
            </w:r>
          </w:p>
        </w:tc>
        <w:tc>
          <w:tcPr>
            <w:tcW w:type="dxa" w:w="4320"/>
          </w:tcPr>
          <w:p>
            <w:r>
              <w:t>Stark-Wilson leadership</w:t>
            </w:r>
          </w:p>
        </w:tc>
      </w:tr>
      <w:tr>
        <w:tc>
          <w:tcPr>
            <w:tcW w:type="dxa" w:w="4320"/>
          </w:tcPr>
          <w:p>
            <w:r>
              <w:t>Prepared by</w:t>
            </w:r>
          </w:p>
        </w:tc>
        <w:tc>
          <w:tcPr>
            <w:tcW w:type="dxa" w:w="4320"/>
          </w:tcPr>
          <w:p>
            <w:r>
              <w:t>Joseph Reed, Research Associate, Calderwood Partners</w:t>
            </w:r>
          </w:p>
        </w:tc>
      </w:tr>
      <w:tr>
        <w:tc>
          <w:tcPr>
            <w:tcW w:type="dxa" w:w="4320"/>
          </w:tcPr>
          <w:p>
            <w:r>
              <w:t>Position</w:t>
            </w:r>
          </w:p>
        </w:tc>
        <w:tc>
          <w:tcPr>
            <w:tcW w:type="dxa" w:w="4320"/>
          </w:tcPr>
          <w:p>
            <w:r>
              <w:t>Midpoint of the engagement</w:t>
            </w:r>
          </w:p>
        </w:tc>
      </w:tr>
    </w:tbl>
    <w:p>
      <w:pPr>
        <w:pStyle w:val="Heading2"/>
      </w:pPr>
      <w:r>
        <w:t>Summary</w:t>
      </w:r>
    </w:p>
    <w:p>
      <w:r>
        <w:t>This report covers the first half of the channel strategy work for Stark-Wilson and sets out where the engagement stands. The channel baseline is finished and reconciled to your finance records. The cost-to-serve analysis is built for three of the four channels, with one set of support costs still to come. Once those arrive we can state margin against the full cost of serving each channel, which is what the analysis has been assembling toward. The pace is in line with the plan for the engagement to this point.</w:t>
      </w:r>
    </w:p>
    <w:p>
      <w:pPr>
        <w:pStyle w:val="Heading2"/>
      </w:pPr>
      <w:r>
        <w:t>Work completed to date</w:t>
      </w:r>
    </w:p>
    <w:p>
      <w:r>
        <w:t>The first months produced the evidence the recommendations will rest on. Every figure is reconciled to your own sales and finance records rather than to anything we carried in, so each number traces back to a source your team already knows. The following are complete:</w:t>
      </w:r>
    </w:p>
    <w:p>
      <w:pPr>
        <w:pStyle w:val="ListBullet"/>
      </w:pPr>
      <w:r>
        <w:t>A channel baseline covering three years of sales across every channel, reconciled to the finance summary at the channel level.</w:t>
      </w:r>
    </w:p>
    <w:p>
      <w:pPr>
        <w:pStyle w:val="ListBullet"/>
      </w:pPr>
      <w:r>
        <w:t>A cost-to-serve model for the direct, distributor, and reseller channels, built from order-handling, logistics, and support costs rather than from a flat allocation.</w:t>
      </w:r>
    </w:p>
    <w:p>
      <w:pPr>
        <w:pStyle w:val="ListBullet"/>
      </w:pPr>
      <w:r>
        <w:t>A customer view showing where the same account is served through more than one channel, and a first measure of what that overlap costs.</w:t>
      </w:r>
    </w:p>
    <w:p>
      <w:pPr>
        <w:pStyle w:val="ListBullet"/>
      </w:pPr>
      <w:r>
        <w:t>A corrected split of the distributor and direct sales that had been booked together for one region, so the channel totals now hold.</w:t>
      </w:r>
    </w:p>
    <w:p>
      <w:pPr>
        <w:pStyle w:val="Heading2"/>
      </w:pPr>
      <w:r>
        <w:t>An early pattern</w:t>
      </w:r>
    </w:p>
    <w:p>
      <w:r>
        <w:t>One early finding is worth stating plainly, with the caution that it is not yet final. On the costs received so far, the reseller channel carries a higher cost to serve than its share of margin supports, driven largely by returns and pre-sale support, while the direct channel earns more after cost than its volume alone would suggest. The online channel looks the cheapest to serve on the order side, but its support cost is the piece still outstanding, so its position is not yet settled. This is the pattern the second half will test and either confirm or qualify. It is not a recommendation, and no channel decision should be read into it yet.</w:t>
      </w:r>
    </w:p>
    <w:p>
      <w:pPr>
        <w:pStyle w:val="Heading2"/>
      </w:pPr>
      <w:r>
        <w:t>Work still ahead</w:t>
      </w:r>
    </w:p>
    <w:p>
      <w:r>
        <w:t>With the baseline fixed, the remaining work turns the analysis into a strategy the business can act on. Assuming the outstanding support costs arrive as scheduled, what is left is:</w:t>
      </w:r>
    </w:p>
    <w:p>
      <w:pPr>
        <w:pStyle w:val="ListBullet"/>
      </w:pPr>
      <w:r>
        <w:t>Complete the cost-to-serve picture for the last channel and close the margin-after-cost view across all four.</w:t>
      </w:r>
    </w:p>
    <w:p>
      <w:pPr>
        <w:pStyle w:val="ListBullet"/>
      </w:pPr>
      <w:r>
        <w:t>Frame the channel options: which channels the numbers support leading with, which to hold, and which to change or step back from.</w:t>
      </w:r>
    </w:p>
    <w:p>
      <w:pPr>
        <w:pStyle w:val="ListBullet"/>
      </w:pPr>
      <w:r>
        <w:t>Set out the roadmap, with the sequence of changes and what each move asks of pricing, sales coverage, and support.</w:t>
      </w:r>
    </w:p>
    <w:p>
      <w:pPr>
        <w:pStyle w:val="ListBullet"/>
      </w:pPr>
      <w:r>
        <w:t>Bring the findings to the next working session for discussion before anything is settled.</w:t>
      </w:r>
    </w:p>
    <w:p>
      <w:pPr>
        <w:pStyle w:val="Heading2"/>
      </w:pPr>
      <w:r>
        <w:t>Fee and budget</w:t>
      </w:r>
    </w:p>
    <w:p>
      <w:r>
        <w:t>The engagement is tracking within the fixed fee of $71,000 agreed at the outset, and roughly half of the planned effort has been used, in line with where the work stands. Nothing in the plan for the second half calls for more than was scoped. If the analysis surfaces a question that genuinely falls outside the original scope, Deborah Jimenez will bring it to you before any work is done against it, so the fee holds no surprise at the end.</w:t>
      </w:r>
    </w:p>
    <w:p>
      <w:pPr>
        <w:pStyle w:val="Heading2"/>
      </w:pPr>
      <w:r>
        <w:t>Risks being managed</w:t>
      </w:r>
    </w:p>
    <w:p>
      <w:r>
        <w:t>Three risks are worth watching. Each is named here with the step being taken on it.</w:t>
      </w:r>
    </w:p>
    <w:p>
      <w:pPr>
        <w:pStyle w:val="ListBullet"/>
      </w:pPr>
      <w:r>
        <w:t>The outstanding support costs. The channel economics cannot be closed until they arrive; the analysis waits on the data, not on us. Your team has committed to send them by the end of next week.</w:t>
      </w:r>
    </w:p>
    <w:p>
      <w:pPr>
        <w:pStyle w:val="ListBullet"/>
      </w:pPr>
      <w:r>
        <w:t>The extent of the channel overlap. One shared account has been corrected, and there may be others; we are testing the larger accounts for the same pattern. If the overlap is wider, the cost attached to it grows with it.</w:t>
      </w:r>
    </w:p>
    <w:p>
      <w:pPr>
        <w:pStyle w:val="ListBullet"/>
      </w:pPr>
      <w:r>
        <w:t>Decision latency. The second half has a critical path, and the channel choices we bring to your leadership set the pace of the roadmap that follows. Delay in those choices pushes the roadmap out by the same amount.</w:t>
      </w:r>
    </w:p>
    <w:p>
      <w:pPr>
        <w:pStyle w:val="Heading2"/>
      </w:pPr>
      <w:r>
        <w:t>What we need from Stark-Wilson</w:t>
      </w:r>
    </w:p>
    <w:p>
      <w:r>
        <w:t>Two things keep the second half on schedule: the remaining support costs by the end of next week, and a working session in the following week to walk your team through the channel economics once they are complete. Deborah Jimenez leads the engagement and will set the session time with your office. Questions on the analysis can come to me directly.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Channel Strategy for Stark-Wilson (draft)</dc:title>
  <dc:subject/>
  <dc:creator>Joseph Reed</dc:creator>
  <cp:keywords/>
  <dc:description>generated by python-docx</dc:description>
  <cp:lastModifiedBy>Joseph Reed</cp:lastModifiedBy>
  <cp:revision>1</cp:revision>
  <dcterms:created xsi:type="dcterms:W3CDTF">2020-06-11T09:00:00Z</dcterms:created>
  <dcterms:modified xsi:type="dcterms:W3CDTF">2020-06-11T09:00:00Z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