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Organization Design for Stark-Wilson</w:t>
      </w:r>
    </w:p>
    <w:p>
      <w:r>
        <w:t>Minutes recorded by Deborah Gordon. Subject: Stark-Wilson organization design, working session at the midpoint of the engagement.</w:t>
      </w:r>
    </w:p>
    <w:p>
      <w:pPr>
        <w:pStyle w:val="Heading2"/>
      </w:pPr>
      <w:r>
        <w:t>Attendees</w:t>
      </w:r>
    </w:p>
    <w:p>
      <w:pPr>
        <w:pStyle w:val="ListBullet"/>
      </w:pPr>
      <w:r>
        <w:t>Julie Parks, Senior Engagement Manager</w:t>
      </w:r>
    </w:p>
    <w:p>
      <w:pPr>
        <w:pStyle w:val="ListBullet"/>
      </w:pPr>
      <w:r>
        <w:t>Deborah Gordon, Associate</w:t>
      </w:r>
    </w:p>
    <w:p>
      <w:pPr>
        <w:pStyle w:val="ListBullet"/>
      </w:pPr>
      <w:r>
        <w:t>Julie Gonzalez, Director of Operations, Stark-Wilson</w:t>
      </w:r>
    </w:p>
    <w:p>
      <w:pPr>
        <w:pStyle w:val="Heading2"/>
      </w:pPr>
      <w:r>
        <w:t>Current-State Picture</w:t>
      </w:r>
    </w:p>
    <w:p>
      <w:r>
        <w:t>The through-line of the session was blunt: the structure carries more layers than the work needs, and the leadership already feels it even where they cannot yet put a name to it. We walked the current-state picture built from the charts, the reconciled baseline, and the interviews that are now nearly done. Julie Parks framed the hour around a single question for the client, which was whether the current state reads as we have described it before we carry any of it into the design. It did, with two corrections that we logged on the spot. Neither correction moved the shape of the finding; both sharpened it. It is worth saying plainly that nothing here is settled by the numbers alone. The baseline tells us where the layers and the cost sit; the interviews tell us why they sit there, and the why is what the design will have to answer.</w:t>
      </w:r>
    </w:p>
    <w:p>
      <w:pPr>
        <w:pStyle w:val="Heading2"/>
      </w:pPr>
      <w:r>
        <w:t>Baseline and Decision Rights</w:t>
      </w:r>
    </w:p>
    <w:p>
      <w:r>
        <w:t>On the cost baseline, the reconciliation to the management accounts now ties at the function level, and the layer analysis holds wherever the data is clean. Two functions still run soft on the internal allocation, and we are holding those numbers back a week rather than publish figures we already expect to move. Julie Gonzalez confirmed the pattern from the operations side without prompting: on several routine approvals the decision sits two levels above where the chart places it, and she offered two examples we had not captured. Both went straight into the decision-rights map. The sharper point she made was that the drift is not laziness. It grew up because the formal owner sat too far from the work to decide quickly, so people routed around the delay until the workaround became the real process. That is a design problem, not a discipline problem, and it changes how we frame the fix: move the decision to where the work is, rather than scold the people who moved it there first.</w:t>
      </w:r>
    </w:p>
    <w:p>
      <w:pPr>
        <w:pStyle w:val="Heading2"/>
      </w:pPr>
      <w:r>
        <w:t>Boundaries and What Comes Next</w:t>
      </w:r>
    </w:p>
    <w:p>
      <w:r>
        <w:t>None of this is a recommendation yet. It is the current state, described and sourced, and the design work starts from exactly here and not a step before. We agreed again to keep the findings inside the room until the last interviews are finished, so the remaining sessions stay diagnostic and do not curdle into a negotiation over who loses a box. Julie Parks will close out the interviews on the firm's side; Julie Gonzalez will keep the leadership expecting questions rather than conclusions when we sit down with them. The next milestone is the diagnostic draft, and the target-design options build out from that.</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Close the internal allocation for the two soft functions and refresh the layer view</w:t>
            </w:r>
          </w:p>
        </w:tc>
        <w:tc>
          <w:tcPr>
            <w:tcW w:type="dxa" w:w="2880"/>
          </w:tcPr>
          <w:p>
            <w:r>
              <w:t>Deborah Gordon</w:t>
            </w:r>
          </w:p>
        </w:tc>
        <w:tc>
          <w:tcPr>
            <w:tcW w:type="dxa" w:w="2880"/>
          </w:tcPr>
          <w:p>
            <w:r>
              <w:t>Next working session</w:t>
            </w:r>
          </w:p>
        </w:tc>
      </w:tr>
      <w:tr>
        <w:tc>
          <w:tcPr>
            <w:tcW w:type="dxa" w:w="2880"/>
          </w:tcPr>
          <w:p>
            <w:r>
              <w:t>Complete the remaining leadership interviews and log the outstanding decision-rights gaps</w:t>
            </w:r>
          </w:p>
        </w:tc>
        <w:tc>
          <w:tcPr>
            <w:tcW w:type="dxa" w:w="2880"/>
          </w:tcPr>
          <w:p>
            <w:r>
              <w:t>Julie Parks</w:t>
            </w:r>
          </w:p>
        </w:tc>
        <w:tc>
          <w:tcPr>
            <w:tcW w:type="dxa" w:w="2880"/>
          </w:tcPr>
          <w:p>
            <w:r>
              <w:t>Before the diagnostic draft</w:t>
            </w:r>
          </w:p>
        </w:tc>
      </w:tr>
      <w:tr>
        <w:tc>
          <w:tcPr>
            <w:tcW w:type="dxa" w:w="2880"/>
          </w:tcPr>
          <w:p>
            <w:r>
              <w:t>Send the two additional approval examples with the names attached to them</w:t>
            </w:r>
          </w:p>
        </w:tc>
        <w:tc>
          <w:tcPr>
            <w:tcW w:type="dxa" w:w="2880"/>
          </w:tcPr>
          <w:p>
            <w:r>
              <w:t>Julie Gonzalez</w:t>
            </w:r>
          </w:p>
        </w:tc>
        <w:tc>
          <w:tcPr>
            <w:tcW w:type="dxa" w:w="2880"/>
          </w:tcPr>
          <w:p>
            <w:r>
              <w:t>End of week</w:t>
            </w:r>
          </w:p>
        </w:tc>
      </w:tr>
      <w:tr>
        <w:tc>
          <w:tcPr>
            <w:tcW w:type="dxa" w:w="2880"/>
          </w:tcPr>
          <w:p>
            <w:r>
              <w:t>Draft the current-state diagnostic once the baseline and the interviews are final</w:t>
            </w:r>
          </w:p>
        </w:tc>
        <w:tc>
          <w:tcPr>
            <w:tcW w:type="dxa" w:w="2880"/>
          </w:tcPr>
          <w:p>
            <w:r>
              <w:t>Deborah Gordon</w:t>
            </w:r>
          </w:p>
        </w:tc>
        <w:tc>
          <w:tcPr>
            <w:tcW w:type="dxa" w:w="2880"/>
          </w:tcPr>
          <w:p>
            <w:r>
              <w:t>Within two weeks</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Organization Design for Stark-Wilson</dc:title>
  <dc:subject/>
  <dc:creator>Deborah Gordon</dc:creator>
  <cp:keywords/>
  <dc:description>generated by python-docx</dc:description>
  <cp:lastModifiedBy>Deborah Gordon</cp:lastModifiedBy>
  <cp:revision>1</cp:revision>
  <dcterms:created xsi:type="dcterms:W3CDTF">2011-07-04T09:00:00Z</dcterms:created>
  <dcterms:modified xsi:type="dcterms:W3CDTF">2011-07-04T09:00:00Z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