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Channel Baseline and Cost-to-Serve Review</w:t>
      </w:r>
    </w:p>
    <w:p>
      <w:r>
        <w:t>Minutes recorded by Deborah Jimenez, Engagement Manager, Calderwood Partners. Working session on the Channel Strategy for Stark-Wilson, held by video with the client. Corrections should reach this office within five business days. Absent corrections, these minutes stand as the record of the session.</w:t>
      </w:r>
    </w:p>
    <w:p>
      <w:pPr>
        <w:pStyle w:val="Heading2"/>
      </w:pPr>
      <w:r>
        <w:t>Attendees</w:t>
      </w:r>
    </w:p>
    <w:p>
      <w:pPr>
        <w:pStyle w:val="ListBullet"/>
      </w:pPr>
      <w:r>
        <w:t>Deborah Jimenez, Engagement Manager, Calderwood Partners</w:t>
      </w:r>
    </w:p>
    <w:p>
      <w:pPr>
        <w:pStyle w:val="ListBullet"/>
      </w:pPr>
      <w:r>
        <w:t>Joseph Reed, Research Associate, Calderwood Partners</w:t>
      </w:r>
    </w:p>
    <w:p>
      <w:pPr>
        <w:pStyle w:val="ListBullet"/>
      </w:pPr>
      <w:r>
        <w:t>Julie Gonzalez, Director of Operations, Stark-Wilson</w:t>
      </w:r>
    </w:p>
    <w:p>
      <w:pPr>
        <w:pStyle w:val="Heading2"/>
      </w:pPr>
      <w:r>
        <w:t>Channel baseline</w:t>
      </w:r>
    </w:p>
    <w:p>
      <w:r>
        <w:t>Joseph Reed presented the channel baseline. It covers three years of sales for Stark-Wilson across the four channels: direct, distributor, reseller, and online. Sales by channel are reconciled to the finance records at the channel level. The split within the distributor channel is not yet final. One region books distributor and direct sales to the same account, and those entries are being separated. The direct, reseller, and online channels tie cleanly. Julie Gonzalez confirmed that the account in question is served both ways by design and gave the names of the two managers who handle it. Joseph Reed logged the correction.</w:t>
      </w:r>
    </w:p>
    <w:p>
      <w:pPr>
        <w:pStyle w:val="Heading2"/>
      </w:pPr>
      <w:r>
        <w:t>Cost to serve</w:t>
      </w:r>
    </w:p>
    <w:p>
      <w:r>
        <w:t>The cost-to-serve data is partial. Order-handling and logistics costs are in for all four channels. Support costs are in for the direct channel only. Joseph Reed noted that margin by channel cannot be stated until the support costs are complete, because the support cost is the line that separates the channels most. The early reading is that the reseller channel carries a higher cost to serve than its share of margin, driven by returns and pre-sale support, but this is provisional and rests on the costs received so far. No conclusion was drawn. Julie Gonzalez asked how the online channel compared; Joseph Reed said the order-handling cost there is the lowest of the four, but the figure is incomplete without the support side. Julie Gonzalez agreed to have the remaining support costs sent by the end of next week and to route the request through her finance team so the definitions match the earlier extract.</w:t>
      </w:r>
    </w:p>
    <w:p>
      <w:pPr>
        <w:pStyle w:val="Heading2"/>
      </w:pPr>
      <w:r>
        <w:t>Scope and timing</w:t>
      </w:r>
    </w:p>
    <w:p>
      <w:r>
        <w:t>Deborah Jimenez confirmed the scope is unchanged: the analysis covers the four channels and stops at a strategy and a roadmap, not at implementation. Julie Gonzalez asked whether the customer contracts would be reviewed. They are outside this engagement and were not opened. The next working session was set for two weeks out, to be held by video, and will cover the completed cost-to-serve view and the channel economics. Julie Gonzalez asked that the channels not be characterized to her sales managers before that session, so the review stays diagnostic. The team agreed.</w:t>
      </w:r>
    </w:p>
    <w:p>
      <w:pPr>
        <w:pStyle w:val="Heading2"/>
      </w:pPr>
      <w:r>
        <w:t>Risks noted</w:t>
      </w:r>
    </w:p>
    <w:p>
      <w:r>
        <w:t>Two risks were raised, each with the step being taken on it. First, the support-cost gap holds up the channel economics; the analysis waits on the client data, and Julie Gonzalez has committed a date for it. Second, the distributor-direct overlap may be wider than the single account found so far; Joseph Reed will test the other large accounts for the same pattern. Both were recorded with an owner and a date so neither slips.</w:t>
      </w:r>
    </w:p>
    <w:p>
      <w:pPr>
        <w:pStyle w:val="Heading2"/>
      </w:pPr>
      <w:r>
        <w:t>Action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No.</w:t>
            </w:r>
          </w:p>
        </w:tc>
        <w:tc>
          <w:tcPr>
            <w:tcW w:type="dxa" w:w="2160"/>
          </w:tcPr>
          <w:p>
            <w:r>
              <w:rPr>
                <w:b/>
              </w:rPr>
              <w:t>Item</w:t>
            </w:r>
          </w:p>
        </w:tc>
        <w:tc>
          <w:tcPr>
            <w:tcW w:type="dxa" w:w="2160"/>
          </w:tcPr>
          <w:p>
            <w:r>
              <w:rPr>
                <w:b/>
              </w:rPr>
              <w:t>Owner</w:t>
            </w:r>
          </w:p>
        </w:tc>
        <w:tc>
          <w:tcPr>
            <w:tcW w:type="dxa" w:w="2160"/>
          </w:tcPr>
          <w:p>
            <w:r>
              <w:rPr>
                <w:b/>
              </w:rPr>
              <w:t>Due</w:t>
            </w:r>
          </w:p>
        </w:tc>
      </w:tr>
      <w:tr>
        <w:tc>
          <w:tcPr>
            <w:tcW w:type="dxa" w:w="2160"/>
          </w:tcPr>
          <w:p>
            <w:r>
              <w:t>1</w:t>
            </w:r>
          </w:p>
        </w:tc>
        <w:tc>
          <w:tcPr>
            <w:tcW w:type="dxa" w:w="2160"/>
          </w:tcPr>
          <w:p>
            <w:r>
              <w:t>Send the remaining support costs, by channel</w:t>
            </w:r>
          </w:p>
        </w:tc>
        <w:tc>
          <w:tcPr>
            <w:tcW w:type="dxa" w:w="2160"/>
          </w:tcPr>
          <w:p>
            <w:r>
              <w:t>Julie Gonzalez</w:t>
            </w:r>
          </w:p>
        </w:tc>
        <w:tc>
          <w:tcPr>
            <w:tcW w:type="dxa" w:w="2160"/>
          </w:tcPr>
          <w:p>
            <w:r>
              <w:t>End of next week</w:t>
            </w:r>
          </w:p>
        </w:tc>
      </w:tr>
      <w:tr>
        <w:tc>
          <w:tcPr>
            <w:tcW w:type="dxa" w:w="2160"/>
          </w:tcPr>
          <w:p>
            <w:r>
              <w:t>2</w:t>
            </w:r>
          </w:p>
        </w:tc>
        <w:tc>
          <w:tcPr>
            <w:tcW w:type="dxa" w:w="2160"/>
          </w:tcPr>
          <w:p>
            <w:r>
              <w:t>Separate distributor and direct sales for the shared account and remap the region</w:t>
            </w:r>
          </w:p>
        </w:tc>
        <w:tc>
          <w:tcPr>
            <w:tcW w:type="dxa" w:w="2160"/>
          </w:tcPr>
          <w:p>
            <w:r>
              <w:t>Joseph Reed</w:t>
            </w:r>
          </w:p>
        </w:tc>
        <w:tc>
          <w:tcPr>
            <w:tcW w:type="dxa" w:w="2160"/>
          </w:tcPr>
          <w:p>
            <w:r>
              <w:t>Before the next session</w:t>
            </w:r>
          </w:p>
        </w:tc>
      </w:tr>
      <w:tr>
        <w:tc>
          <w:tcPr>
            <w:tcW w:type="dxa" w:w="2160"/>
          </w:tcPr>
          <w:p>
            <w:r>
              <w:t>3</w:t>
            </w:r>
          </w:p>
        </w:tc>
        <w:tc>
          <w:tcPr>
            <w:tcW w:type="dxa" w:w="2160"/>
          </w:tcPr>
          <w:p>
            <w:r>
              <w:t>Test the other major accounts for distributor-direct overlap</w:t>
            </w:r>
          </w:p>
        </w:tc>
        <w:tc>
          <w:tcPr>
            <w:tcW w:type="dxa" w:w="2160"/>
          </w:tcPr>
          <w:p>
            <w:r>
              <w:t>Joseph Reed</w:t>
            </w:r>
          </w:p>
        </w:tc>
        <w:tc>
          <w:tcPr>
            <w:tcW w:type="dxa" w:w="2160"/>
          </w:tcPr>
          <w:p>
            <w:r>
              <w:t>With the revised baseline</w:t>
            </w:r>
          </w:p>
        </w:tc>
      </w:tr>
      <w:tr>
        <w:tc>
          <w:tcPr>
            <w:tcW w:type="dxa" w:w="2160"/>
          </w:tcPr>
          <w:p>
            <w:r>
              <w:t>4</w:t>
            </w:r>
          </w:p>
        </w:tc>
        <w:tc>
          <w:tcPr>
            <w:tcW w:type="dxa" w:w="2160"/>
          </w:tcPr>
          <w:p>
            <w:r>
              <w:t>Hold the provisional cost-to-serve reading inside the team until the support costs are complete</w:t>
            </w:r>
          </w:p>
        </w:tc>
        <w:tc>
          <w:tcPr>
            <w:tcW w:type="dxa" w:w="2160"/>
          </w:tcPr>
          <w:p>
            <w:r>
              <w:t>Deborah Jimenez</w:t>
            </w:r>
          </w:p>
        </w:tc>
        <w:tc>
          <w:tcPr>
            <w:tcW w:type="dxa" w:w="2160"/>
          </w:tcPr>
          <w:p>
            <w:r>
              <w:t>Ongoing</w:t>
            </w:r>
          </w:p>
        </w:tc>
      </w:tr>
    </w:tbl>
    <w:p>
      <w:r>
        <w:t>The next working session will review the completed cost-to-serve picture and the channel economics that follow from it. Deborah Jimenez will circulate the revised baseline once the shared-account correction is made.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Channel Strategy for Stark-Wilson</dc:title>
  <dc:subject/>
  <dc:creator>Deborah Jimenez</dc:creator>
  <cp:keywords/>
  <dc:description>generated by python-docx</dc:description>
  <cp:lastModifiedBy>Deborah Jimenez</cp:lastModifiedBy>
  <cp:revision>1</cp:revision>
  <dcterms:created xsi:type="dcterms:W3CDTF">2020-05-28T09:00:00Z</dcterms:created>
  <dcterms:modified xsi:type="dcterms:W3CDTF">2020-05-28T09:00:00Z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