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Jason Torres, Brenda Rodriguez</w:t>
        <w:br/>
        <w:t>From: John Vasquez</w:t>
        <w:br/>
        <w:t>Re: Walker-Murray working capital program, how the first weeks are set up</w:t>
      </w:r>
    </w:p>
    <w:p>
      <w:r>
        <w:t>We are under way as of August 9, 2013, and this note lays out how the Walker-Murray working capital program is organized so that we are all working from the same picture before the first session with the client. The objective, put plainly, is that Walker-Murray has more cash tied up in its operating cycle than a company of its size needs, and management wants that cash back without breaking the machinery that produces it. What we do not yet know is how much of it is actually recoverable, and I want to be honest about that at the start. The first weeks exist to find out, and in particular to separate the cash that is genuinely trapped from the cash that only looks trapped because of how the books are kept.</w:t>
      </w:r>
    </w:p>
    <w:p>
      <w:pPr>
        <w:pStyle w:val="Heading2"/>
      </w:pPr>
      <w:r>
        <w:t>The lines of work</w:t>
      </w:r>
    </w:p>
    <w:p>
      <w:pPr>
        <w:pStyle w:val="ListBullet"/>
      </w:pPr>
      <w:r>
        <w:t>Receivables and collections. How much Walker-Murray is owed, how old the balance is, and why the slow accounts are slow. The aging is the first thing we pull, and Brenda Rodriguez owns it.</w:t>
      </w:r>
    </w:p>
    <w:p>
      <w:pPr>
        <w:pStyle w:val="ListBullet"/>
      </w:pPr>
      <w:r>
        <w:t>Payables and payment terms. What the company owes, the terms it pays on in practice against the terms on paper, and where terms are being given up for no return. Brenda Rodriguez has this alongside the receivables.</w:t>
      </w:r>
    </w:p>
    <w:p>
      <w:pPr>
        <w:pStyle w:val="ListBullet"/>
      </w:pPr>
      <w:r>
        <w:t>Inventory. What is held, how quickly it turns, and how much of it is buffering real swings in demand rather than sitting against forecasts that no longer hold. This one comes a little later, once the data is in.</w:t>
      </w:r>
    </w:p>
    <w:p>
      <w:r>
        <w:t>It is worth saying why we keep these three together rather than handing each to a different person and adding up the answers. They pull on one another. Squeeze payables too hard and suppliers quietly tighten the terms they offer; cut inventory without understanding the demand it covers and a balance-sheet gain turns into stockouts on the floor. The part of this work that is easy to get wrong is the trade-offs between the three, so we will hold them in one view.</w:t>
      </w:r>
    </w:p>
    <w:p>
      <w:r>
        <w:t>For my part, I am pulling the background on Walker-Murray's sector and the working-capital norms that companies like it tend to run to. That matters because a number on its own tells you little; days of receivables that look high against one industry are ordinary in another, and we should be able to tell the client where it is a genuine outlier and where it is simply where its business sits. I will have a first read on that before the receivables aging is finished, so the two land together.</w:t>
      </w:r>
    </w:p>
    <w:p>
      <w:r>
        <w:t>On rhythm, the engagement runs the way ours usually do. Working sessions with the client produce written minutes; between them we trade shorter notes on data and scheduling. We will also hold a short internal check-in each week to keep the three lines moving at the same pace, since it is easy for the inventory piece to fall behind while the receivables work is generating the visible progress.</w:t>
      </w:r>
    </w:p>
    <w:p>
      <w:pPr>
        <w:pStyle w:val="Heading2"/>
      </w:pPr>
      <w:r>
        <w:t>Getting set up</w:t>
      </w:r>
    </w:p>
    <w:p>
      <w:pPr>
        <w:pStyle w:val="ListBullet"/>
      </w:pPr>
      <w:r>
        <w:t>Our contact on the client side is James Keller, Director of Operations at Walker-Murray. Data requests and access questions go to Keller, and we should batch them rather than send them one at a time, since he is fielding this on top of his own job.</w:t>
      </w:r>
    </w:p>
    <w:p>
      <w:pPr>
        <w:pStyle w:val="ListBullet"/>
      </w:pPr>
      <w:r>
        <w:t>David Wilson in Operations has the shared workspace set up and will handle scheduling for the working sessions and the internal check-ins. If you need a room, a call arranged, or files moved onto the shared drive, that is David Wilson's desk.</w:t>
      </w:r>
    </w:p>
    <w:p>
      <w:pPr>
        <w:pStyle w:val="ListBullet"/>
      </w:pPr>
      <w:r>
        <w:t>I will keep a running log of what we have asked the client for and what is still outstanding, so nothing gets chased twice or dropped between sessions.</w:t>
      </w:r>
    </w:p>
    <w:p>
      <w:r>
        <w:t>Jason Torres will frame the first working session and set the two or three questions we most need answered early. If anything here does not match how you understood the scope, say so now, while the plan is still easy to change, and we will fix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Working Capital Program for Walker-Murray</dc:title>
  <dc:subject/>
  <dc:creator>John Vasquez</dc:creator>
  <cp:keywords/>
  <dc:description>generated by python-docx</dc:description>
  <cp:lastModifiedBy>John Vasquez</cp:lastModifiedBy>
  <cp:revision>1</cp:revision>
  <dcterms:created xsi:type="dcterms:W3CDTF">2013-08-12T09:00:00Z</dcterms:created>
  <dcterms:modified xsi:type="dcterms:W3CDTF">2013-08-12T09:00:00Z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