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Working Capital Program for Walker-Murray</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Working Capital Program</w:t>
            </w:r>
          </w:p>
        </w:tc>
      </w:tr>
      <w:tr>
        <w:tc>
          <w:tcPr>
            <w:tcW w:type="dxa" w:w="4320"/>
          </w:tcPr>
          <w:p>
            <w:r>
              <w:t>Client</w:t>
            </w:r>
          </w:p>
        </w:tc>
        <w:tc>
          <w:tcPr>
            <w:tcW w:type="dxa" w:w="4320"/>
          </w:tcPr>
          <w:p>
            <w:r>
              <w:t>Walker-Murray</w:t>
            </w:r>
          </w:p>
        </w:tc>
      </w:tr>
      <w:tr>
        <w:tc>
          <w:tcPr>
            <w:tcW w:type="dxa" w:w="4320"/>
          </w:tcPr>
          <w:p>
            <w:r>
              <w:t>Prepared for</w:t>
            </w:r>
          </w:p>
        </w:tc>
        <w:tc>
          <w:tcPr>
            <w:tcW w:type="dxa" w:w="4320"/>
          </w:tcPr>
          <w:p>
            <w:r>
              <w:t>Walker-Murray leadership</w:t>
            </w:r>
          </w:p>
        </w:tc>
      </w:tr>
      <w:tr>
        <w:tc>
          <w:tcPr>
            <w:tcW w:type="dxa" w:w="4320"/>
          </w:tcPr>
          <w:p>
            <w:r>
              <w:t>Prepared by</w:t>
            </w:r>
          </w:p>
        </w:tc>
        <w:tc>
          <w:tcPr>
            <w:tcW w:type="dxa" w:w="4320"/>
          </w:tcPr>
          <w:p>
            <w:r>
              <w:t>John Vasquez, Research Associate, Calderwood Partners</w:t>
            </w:r>
          </w:p>
        </w:tc>
      </w:tr>
      <w:tr>
        <w:tc>
          <w:tcPr>
            <w:tcW w:type="dxa" w:w="4320"/>
          </w:tcPr>
          <w:p>
            <w:r>
              <w:t>Position</w:t>
            </w:r>
          </w:p>
        </w:tc>
        <w:tc>
          <w:tcPr>
            <w:tcW w:type="dxa" w:w="4320"/>
          </w:tcPr>
          <w:p>
            <w:r>
              <w:t>Midpoint of the engagement</w:t>
            </w:r>
          </w:p>
        </w:tc>
      </w:tr>
    </w:tbl>
    <w:p>
      <w:pPr>
        <w:pStyle w:val="Heading2"/>
      </w:pPr>
      <w:r>
        <w:t>Where the work stands</w:t>
      </w:r>
    </w:p>
    <w:p>
      <w:r>
        <w:t>We are at the midpoint of the working capital program, and the engagement is on plan. The receivables and payables analysis is substantially complete, the inventory work is under way, and the shape of the opportunity is clearer than it was at kickoff. This report sets out what the first half produced, what the second half will do, the budget position, and the handful of risks worth watching. Where a number is given below it is one we can already stand behind; where a piece of work is still open, the report says so plainly. It is deliberately short on final figures. The inventory piece is not yet reconciled, and until it is, any total would be provisional; the next report will carry the full number.</w:t>
      </w:r>
    </w:p>
    <w:p>
      <w:pPr>
        <w:pStyle w:val="Heading2"/>
      </w:pPr>
      <w:r>
        <w:t>What the first half produced</w:t>
      </w:r>
    </w:p>
    <w:p>
      <w:r>
        <w:t>The first half was spent turning Walker-Murray's own records into an analysis the recommendations can rest on. Brenda Rodriguez led the receivables and payables work, and the figures are now reconciled to your ledgers rather than to our reconstruction of them. Two findings stand out. The receivables that are past terms are concentrated in a small number of large accounts, which means the collection effort can be focused rather than spread thin. On the payables side, a share of suppliers is being paid ahead of the agreed terms without an early-payment discount in return, which is cash leaving early for no return we have yet identified. For my part, I assembled the sector comparison that sits under those two findings, so that the receivables and payables figures can be read against what companies of Walker-Murray's size and trade normally carry, and not simply against zero.</w:t>
      </w:r>
    </w:p>
    <w:p>
      <w:pPr>
        <w:pStyle w:val="ListBullet"/>
      </w:pPr>
      <w:r>
        <w:t>A reconciled receivables aging, with the overdue balance traced to individual accounts and their terms.</w:t>
      </w:r>
    </w:p>
    <w:p>
      <w:pPr>
        <w:pStyle w:val="ListBullet"/>
      </w:pPr>
      <w:r>
        <w:t>A payables and terms review that identifies where the company pays earlier than it needs to.</w:t>
      </w:r>
    </w:p>
    <w:p>
      <w:pPr>
        <w:pStyle w:val="ListBullet"/>
      </w:pPr>
      <w:r>
        <w:t>A first, unreconciled read of the inventory by product line, enough to show the holding is uneven but not yet enough to size.</w:t>
      </w:r>
    </w:p>
    <w:p>
      <w:pPr>
        <w:pStyle w:val="ListBullet"/>
      </w:pPr>
      <w:r>
        <w:t>Sector background on comparable companies, so that each figure can be read against what is normal for a business like Walker-Murray rather than in isolation.</w:t>
      </w:r>
    </w:p>
    <w:p>
      <w:pPr>
        <w:pStyle w:val="Heading2"/>
      </w:pPr>
      <w:r>
        <w:t>The second half</w:t>
      </w:r>
    </w:p>
    <w:p>
      <w:r>
        <w:t>The remainder of the engagement turns the analysis into changes your team can act on. Jason Torres is framing the recommendations, and the priority is to move first on the cash that can be recovered without touching operations, since that is the least disruptive to realize. The main analytical work still open is the inventory, where the reconciliation now under way will tell us how much of the holding is buffering real demand and how much can safely come down. None of what remains changes the direction of the work; it fills in the size of the prize and turns the findings into a plan your managers can pick up and run.</w:t>
      </w:r>
    </w:p>
    <w:p>
      <w:pPr>
        <w:pStyle w:val="ListBullet"/>
      </w:pPr>
      <w:r>
        <w:t>Complete the inventory reconciliation and size the recoverable holding by product line.</w:t>
      </w:r>
    </w:p>
    <w:p>
      <w:pPr>
        <w:pStyle w:val="ListBullet"/>
      </w:pPr>
      <w:r>
        <w:t>Turn the receivables and payables findings into specific actions, each with the cash it releases and what it takes to realize it.</w:t>
      </w:r>
    </w:p>
    <w:p>
      <w:pPr>
        <w:pStyle w:val="ListBullet"/>
      </w:pPr>
      <w:r>
        <w:t>Sequence the changes so the quick, low-risk recoveries come first and fund the attention the harder ones need.</w:t>
      </w:r>
    </w:p>
    <w:p>
      <w:pPr>
        <w:pStyle w:val="ListBullet"/>
      </w:pPr>
      <w:r>
        <w:t>Bring the whole set to your leadership as a short list of decisions, each with the evidence behind it.</w:t>
      </w:r>
    </w:p>
    <w:p>
      <w:pPr>
        <w:pStyle w:val="Heading2"/>
      </w:pPr>
      <w:r>
        <w:t>Budget</w:t>
      </w:r>
    </w:p>
    <w:p>
      <w:r>
        <w:t>The engagement is tracking within its fixed fee of $30,000. The analysis phase came in on the effort we planned, and nothing in the work ahead calls for more than was scoped. If the second half surfaces a question outside the agreed scope, we will raise it with you and agree any change before we act on it, not after.</w:t>
      </w:r>
    </w:p>
    <w:p>
      <w:pPr>
        <w:pStyle w:val="Heading2"/>
      </w:pPr>
      <w:r>
        <w:t>Risks worth watching</w:t>
      </w:r>
    </w:p>
    <w:p>
      <w:r>
        <w:t>Three risks are worth naming now, while each can still be managed.</w:t>
      </w:r>
    </w:p>
    <w:p>
      <w:pPr>
        <w:pStyle w:val="ListBullet"/>
      </w:pPr>
      <w:r>
        <w:t>Invoice-date quality behind the receivables aging. A sample turned up invoices dated on dispatch rather than on billing, which flatters the aging; your team is confirming the dates, and the collections case waits on that confirmation.</w:t>
      </w:r>
    </w:p>
    <w:p>
      <w:pPr>
        <w:pStyle w:val="ListBullet"/>
      </w:pPr>
      <w:r>
        <w:t>Off-invoice supplier terms. Before we recommend paying strictly to term, we need to be sure none of the early payments are buying something that does not appear on the invoice, such as priority on supply. That check is under way.</w:t>
      </w:r>
    </w:p>
    <w:p>
      <w:pPr>
        <w:pStyle w:val="ListBullet"/>
      </w:pPr>
      <w:r>
        <w:t>Timeliness of inputs. The inventory reconciliation depends on data from your team; the schedule for the second half assumes it arrives without long delay, and a slip there moves the finish, not the scope.</w:t>
      </w:r>
    </w:p>
    <w:p>
      <w:r>
        <w:t>None of these threatens the engagement, and each is on our log with an owner against it. Brenda Rodriguez and I will keep the analysis moving on the items within our control, and we will flag anything that needs a decision from your side as soon as it is ripe rather than saving it for the next report.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Working Capital Program for Walker-Murray</dc:title>
  <dc:subject/>
  <dc:creator>John Vasquez</dc:creator>
  <cp:keywords/>
  <dc:description>generated by python-docx</dc:description>
  <cp:lastModifiedBy>John Vasquez</cp:lastModifiedBy>
  <cp:revision>1</cp:revision>
  <dcterms:created xsi:type="dcterms:W3CDTF">2013-11-20T09:00:00Z</dcterms:created>
  <dcterms:modified xsi:type="dcterms:W3CDTF">2013-11-20T09:00:00Z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