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Margin Recovery Program</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Program</w:t>
            </w:r>
          </w:p>
        </w:tc>
        <w:tc>
          <w:tcPr>
            <w:tcW w:type="dxa" w:w="4320"/>
          </w:tcPr>
          <w:p>
            <w:r>
              <w:t>Margin Recovery Program</w:t>
            </w:r>
          </w:p>
        </w:tc>
      </w:tr>
      <w:tr>
        <w:tc>
          <w:tcPr>
            <w:tcW w:type="dxa" w:w="4320"/>
          </w:tcPr>
          <w:p>
            <w:r>
              <w:t>Client</w:t>
            </w:r>
          </w:p>
        </w:tc>
        <w:tc>
          <w:tcPr>
            <w:tcW w:type="dxa" w:w="4320"/>
          </w:tcPr>
          <w:p>
            <w:r>
              <w:t>Walker-Murray</w:t>
            </w:r>
          </w:p>
        </w:tc>
      </w:tr>
      <w:tr>
        <w:tc>
          <w:tcPr>
            <w:tcW w:type="dxa" w:w="4320"/>
          </w:tcPr>
          <w:p>
            <w:r>
              <w:t>Prepared for</w:t>
            </w:r>
          </w:p>
        </w:tc>
        <w:tc>
          <w:tcPr>
            <w:tcW w:type="dxa" w:w="4320"/>
          </w:tcPr>
          <w:p>
            <w:r>
              <w:t>Walker-Murray leadership</w:t>
            </w:r>
          </w:p>
        </w:tc>
      </w:tr>
      <w:tr>
        <w:tc>
          <w:tcPr>
            <w:tcW w:type="dxa" w:w="4320"/>
          </w:tcPr>
          <w:p>
            <w:r>
              <w:t>Prepared by</w:t>
            </w:r>
          </w:p>
        </w:tc>
        <w:tc>
          <w:tcPr>
            <w:tcW w:type="dxa" w:w="4320"/>
          </w:tcPr>
          <w:p>
            <w:r>
              <w:t>Melissa Casey, Research Associate</w:t>
            </w:r>
          </w:p>
        </w:tc>
      </w:tr>
    </w:tbl>
    <w:p>
      <w:pPr>
        <w:pStyle w:val="Heading2"/>
      </w:pPr>
      <w:r>
        <w:t>Summary</w:t>
      </w:r>
    </w:p>
    <w:p>
      <w:r>
        <w:t>The margin recovery program for Walker-Murray is at its midpoint and on plan. The diagnosis of where margin is being lost is essentially complete and reconciled to your own accounts, and we are turning that evidence into a ranked set of recovery initiatives. The central finding is that the erosion is spread across pricing, the cost of delivery, and the mix of products and customers, rather than sitting in any single place. That shapes the recommendation as much as any individual number: the recovery will come from several coordinated actions taken together, not from one large move, and the value of the program depends on following through on the set rather than adopting one and leaving the rest.</w:t>
      </w:r>
    </w:p>
    <w:p>
      <w:pPr>
        <w:pStyle w:val="Heading2"/>
      </w:pPr>
      <w:r>
        <w:t>Completed this period</w:t>
      </w:r>
    </w:p>
    <w:p>
      <w:r>
        <w:t>The first half of the program produced the evidence the recommendations will rest on. James Green built the margin baseline and reconciled it to your management accounts, so the figures are now yours rather than ours, traceable to sources your finance team already works from. Against that baseline the period produced:</w:t>
      </w:r>
    </w:p>
    <w:p>
      <w:pPr>
        <w:pStyle w:val="ListBullet"/>
      </w:pPr>
      <w:r>
        <w:t>A margin baseline by product line and function, tied back to your accounts, so every figure can be traced to a source your finance team already trusts.</w:t>
      </w:r>
    </w:p>
    <w:p>
      <w:pPr>
        <w:pStyle w:val="ListBullet"/>
      </w:pPr>
      <w:r>
        <w:t>A pricing analysis comparing realized prices to list across the account base, which shows discounting running deeper on the largest accounts than the policy anticipates.</w:t>
      </w:r>
    </w:p>
    <w:p>
      <w:pPr>
        <w:pStyle w:val="ListBullet"/>
      </w:pPr>
      <w:r>
        <w:t>A first customer and product profitability view, separating the accounts and lines that earn their keep from those that do not, with the service each draws taken into account.</w:t>
      </w:r>
    </w:p>
    <w:p>
      <w:pPr>
        <w:pStyle w:val="ListBullet"/>
      </w:pPr>
      <w:r>
        <w:t>An early read on the recovery initiatives the evidence supports, which we are now sizing and ranking by return against effort.</w:t>
      </w:r>
    </w:p>
    <w:p>
      <w:r>
        <w:t>One finding is worth stating plainly. The margin lost to undisciplined discounting on the largest accounts is larger than the estimate your team carried into this work, and it is the source we can act on soonest, because it turns on approval practice rather than on any change to the product or the customer. It is also the finding your commercial team is most likely to want to test, and we would rather they did; the pricing analysis is built to be walked through one account at a time.</w:t>
      </w:r>
    </w:p>
    <w:p>
      <w:pPr>
        <w:pStyle w:val="Heading2"/>
      </w:pPr>
      <w:r>
        <w:t>Upcoming work</w:t>
      </w:r>
    </w:p>
    <w:p>
      <w:r>
        <w:t>The second half turns the diagnosis into a plan you can run. Assuming the direction holds, the work ahead is:</w:t>
      </w:r>
    </w:p>
    <w:p>
      <w:pPr>
        <w:pStyle w:val="ListBullet"/>
      </w:pPr>
      <w:r>
        <w:t>A ranked set of recovery initiatives, each with the benefit it is expected to return and the effort it will take to land.</w:t>
      </w:r>
    </w:p>
    <w:p>
      <w:pPr>
        <w:pStyle w:val="ListBullet"/>
      </w:pPr>
      <w:r>
        <w:t>A tightening of pricing and discount approval, drawn at a level a manager could put into effect without waiting on a system change.</w:t>
      </w:r>
    </w:p>
    <w:p>
      <w:pPr>
        <w:pStyle w:val="ListBullet"/>
      </w:pPr>
      <w:r>
        <w:t>A recommendation on the low-margin accounts and lines, with the strategically held ones flagged separately rather than folded in.</w:t>
      </w:r>
    </w:p>
    <w:p>
      <w:pPr>
        <w:pStyle w:val="ListBullet"/>
      </w:pPr>
      <w:r>
        <w:t>A sequenced roadmap, so the actions that return the most for the least disruption come first and the harder moves follow once the early ones are underway.</w:t>
      </w:r>
    </w:p>
    <w:p>
      <w:pPr>
        <w:pStyle w:val="Heading2"/>
      </w:pPr>
      <w:r>
        <w:t>Budget</w:t>
      </w:r>
    </w:p>
    <w:p>
      <w:r>
        <w:t>The program is tracking within its fixed fee of $52,000, and the hours spent through the midpoint are in line with the plan. The analysis phase came in on the effort we scoped, and nothing in the work ahead requires more than was allowed for. Should the initiative design surface a question that falls outside the scope we agreed, Jason Torres will raise it with you before any work is done on it, not after, so there is nothing on the final invoice you have not already seen coming.</w:t>
      </w:r>
    </w:p>
    <w:p>
      <w:pPr>
        <w:pStyle w:val="Heading2"/>
      </w:pPr>
      <w:r>
        <w:t>Risks</w:t>
      </w:r>
    </w:p>
    <w:p>
      <w:r>
        <w:t>Three risks are worth watching, each named here so it can be managed early rather than discovered late.</w:t>
      </w:r>
    </w:p>
    <w:p>
      <w:pPr>
        <w:pStyle w:val="ListBullet"/>
      </w:pPr>
      <w:r>
        <w:t>Data completeness in the mid-sized accounts, where the transaction records are thinner than in the core book. Closing the gap needs a few hours from your finance staff, not a new collection.</w:t>
      </w:r>
    </w:p>
    <w:p>
      <w:pPr>
        <w:pStyle w:val="ListBullet"/>
      </w:pPr>
      <w:r>
        <w:t>The strategically held accounts. Some low-margin relationships are kept for reasons the analysis cannot see; the decision on those is yours, and we will size them without presuming it.</w:t>
      </w:r>
    </w:p>
    <w:p>
      <w:pPr>
        <w:pStyle w:val="ListBullet"/>
      </w:pPr>
      <w:r>
        <w:t>Pace of decision. The roadmap has a critical path, and the recovery begins only once the pricing and approval changes are adopted. That decision sits with your leadership, and it is the one most within your own control.</w:t>
      </w:r>
    </w:p>
    <w:p>
      <w:r>
        <w:t>We will bring the ranked initiatives and the draft roadmap to the next working session, along with the sizing behind each one, so the discussion can stay on the decisions rather than on the arithmetic. If you would like the pricing finding walked through with your commercial team before then, I will arrange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Margin Recovery Program for Walker-Murray</dc:title>
  <dc:subject/>
  <dc:creator>Melissa Casey</dc:creator>
  <cp:keywords/>
  <dc:description>generated by python-docx</dc:description>
  <cp:lastModifiedBy>Melissa Casey</cp:lastModifiedBy>
  <cp:revision>1</cp:revision>
  <dcterms:created xsi:type="dcterms:W3CDTF">2022-08-30T09:00:00Z</dcterms:created>
  <dcterms:modified xsi:type="dcterms:W3CDTF">2022-08-30T09:00:00Z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