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Receivables and Payables Review</w:t>
      </w:r>
    </w:p>
    <w:p>
      <w:r>
        <w:t>Minutes recorded by Brenda Rodriguez. Subject: the Walker-Murray working capital program, working session with the client team.</w:t>
      </w:r>
    </w:p>
    <w:p>
      <w:pPr>
        <w:pStyle w:val="Heading2"/>
      </w:pPr>
      <w:r>
        <w:t>Attendees</w:t>
      </w:r>
    </w:p>
    <w:p>
      <w:pPr>
        <w:pStyle w:val="ListBullet"/>
      </w:pPr>
      <w:r>
        <w:t>Jason Torres, Principal, Calderwood Partners</w:t>
      </w:r>
    </w:p>
    <w:p>
      <w:pPr>
        <w:pStyle w:val="ListBullet"/>
      </w:pPr>
      <w:r>
        <w:t>Brenda Rodriguez, Senior Consultant, Calderwood Partners</w:t>
      </w:r>
    </w:p>
    <w:p>
      <w:pPr>
        <w:pStyle w:val="ListBullet"/>
      </w:pPr>
      <w:r>
        <w:t>John Vasquez, Research Associate, Calderwood Partners</w:t>
      </w:r>
    </w:p>
    <w:p>
      <w:pPr>
        <w:pStyle w:val="ListBullet"/>
      </w:pPr>
      <w:r>
        <w:t>James Keller, Director of Operations, Walker-Murray</w:t>
      </w:r>
    </w:p>
    <w:p>
      <w:pPr>
        <w:pStyle w:val="Heading2"/>
      </w:pPr>
      <w:r>
        <w:t>Receivables</w:t>
      </w:r>
    </w:p>
    <w:p>
      <w:r>
        <w:t>I took the group through the receivables aging. The finding is that the overdue balance is concentrated, not spread: a small number of large accounts account for most of what is past terms, and several of them are past by a wide margin rather than by a few days. That is a better problem to have than a broad drift, because it can be worked account by account. In days-sales terms the receivables run longer than the sector norm John Vasquez pulled, though not dramatically so; the concentration is the more useful fact than the average. One caution I put on the record: the aging is only as good as the invoice dates behind it, and a sample check turned up a handful of invoices dated on dispatch rather than on billing, which flatters the numbers. James Keller agreed to have the billing dates confirmed against a sample before we build the collections case on them.</w:t>
      </w:r>
    </w:p>
    <w:p>
      <w:pPr>
        <w:pStyle w:val="Heading2"/>
      </w:pPr>
      <w:r>
        <w:t>Payables and terms</w:t>
      </w:r>
    </w:p>
    <w:p>
      <w:r>
        <w:t>On payables, the pattern is the reverse of what I expected. Walker-Murray is paying a meaningful share of its suppliers earlier than the agreed terms require, without taking an early-payment discount in return. That is cash going out the door for nothing we have yet found. The size of the leakage is not firm, but on the first cut it is not trivial, and unlike the receivables it can be corrected by changing our own behavior rather than by asking a customer to pay. Before we recommend simply paying to term, though, we need to know whether any of those early payments are buying something that does not show up on the invoice, such as priority on supply. John Vasquez is checking that against the purchasing side.</w:t>
      </w:r>
    </w:p>
    <w:p>
      <w:pPr>
        <w:pStyle w:val="Heading2"/>
      </w:pPr>
      <w:r>
        <w:t>Inventory, first look</w:t>
      </w:r>
    </w:p>
    <w:p>
      <w:r>
        <w:t>The inventory work is just starting. The movement data arrived, and a first pass suggests the holding is uneven across product lines, but I am not prepared to say more until it is reconciled. What I can say is that the turns differ enough between lines that a single inventory target would be the wrong instrument. Jason Torres asked that we treat the inventory as an open question at this stage rather than fold a soft number into the running total.</w:t>
      </w:r>
    </w:p>
    <w:p>
      <w:pPr>
        <w:pStyle w:val="Heading2"/>
      </w:pPr>
      <w:r>
        <w:t>Where this leaves us</w:t>
      </w:r>
    </w:p>
    <w:p>
      <w:r>
        <w:t>We are about at the midpoint, and the shape of the opportunity is clearer than the size of it. The receivables and the early-payment findings both point to cash that can be recovered without touching operations, which is the easiest kind to argue for. The inventory is where the larger number probably sits, and it is also where I am least willing to commit to a figure yet. James Keller asked for a rough sense of the total; I declined to put a figure on it until the inventory reconciles, and noted that the receivables and payables recovery is the part we can already size with confidence.</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Confirm billing dates against a sample of the aged invoices</w:t>
            </w:r>
          </w:p>
        </w:tc>
        <w:tc>
          <w:tcPr>
            <w:tcW w:type="dxa" w:w="2880"/>
          </w:tcPr>
          <w:p>
            <w:r>
              <w:t>James Keller</w:t>
            </w:r>
          </w:p>
        </w:tc>
        <w:tc>
          <w:tcPr>
            <w:tcW w:type="dxa" w:w="2880"/>
          </w:tcPr>
          <w:p>
            <w:r>
              <w:t>Before the next session</w:t>
            </w:r>
          </w:p>
        </w:tc>
      </w:tr>
      <w:tr>
        <w:tc>
          <w:tcPr>
            <w:tcW w:type="dxa" w:w="2880"/>
          </w:tcPr>
          <w:p>
            <w:r>
              <w:t>Reconcile early-payment cases against purchasing for off-invoice terms</w:t>
            </w:r>
          </w:p>
        </w:tc>
        <w:tc>
          <w:tcPr>
            <w:tcW w:type="dxa" w:w="2880"/>
          </w:tcPr>
          <w:p>
            <w:r>
              <w:t>John Vasquez</w:t>
            </w:r>
          </w:p>
        </w:tc>
        <w:tc>
          <w:tcPr>
            <w:tcW w:type="dxa" w:w="2880"/>
          </w:tcPr>
          <w:p>
            <w:r>
              <w:t>Next two weeks</w:t>
            </w:r>
          </w:p>
        </w:tc>
      </w:tr>
      <w:tr>
        <w:tc>
          <w:tcPr>
            <w:tcW w:type="dxa" w:w="2880"/>
          </w:tcPr>
          <w:p>
            <w:r>
              <w:t>Reconcile the inventory movement data by product line</w:t>
            </w:r>
          </w:p>
        </w:tc>
        <w:tc>
          <w:tcPr>
            <w:tcW w:type="dxa" w:w="2880"/>
          </w:tcPr>
          <w:p>
            <w:r>
              <w:t>Brenda Rodriguez</w:t>
            </w:r>
          </w:p>
        </w:tc>
        <w:tc>
          <w:tcPr>
            <w:tcW w:type="dxa" w:w="2880"/>
          </w:tcPr>
          <w:p>
            <w:r>
              <w:t>Before the inventory read</w:t>
            </w:r>
          </w:p>
        </w:tc>
      </w:tr>
      <w:tr>
        <w:tc>
          <w:tcPr>
            <w:tcW w:type="dxa" w:w="2880"/>
          </w:tcPr>
          <w:p>
            <w:r>
              <w:t>Hold the collections recommendation until the invoice dates are confirmed</w:t>
            </w:r>
          </w:p>
        </w:tc>
        <w:tc>
          <w:tcPr>
            <w:tcW w:type="dxa" w:w="2880"/>
          </w:tcPr>
          <w:p>
            <w:r>
              <w:t>Jason Torres</w:t>
            </w:r>
          </w:p>
        </w:tc>
        <w:tc>
          <w:tcPr>
            <w:tcW w:type="dxa" w:w="2880"/>
          </w:tcPr>
          <w:p>
            <w:r>
              <w:t>Ongoing</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Working Capital Program for Walker-Murray</dc:title>
  <dc:subject/>
  <dc:creator>Brenda Rodriguez</dc:creator>
  <cp:keywords/>
  <dc:description>generated by python-docx</dc:description>
  <cp:lastModifiedBy>Brenda Rodriguez</cp:lastModifiedBy>
  <cp:revision>1</cp:revision>
  <dcterms:created xsi:type="dcterms:W3CDTF">2013-10-30T09:00:00Z</dcterms:created>
  <dcterms:modified xsi:type="dcterms:W3CDTF">2013-10-30T09:00:00Z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