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Margin Diagnostic Review</w:t>
      </w:r>
    </w:p>
    <w:p>
      <w:r>
        <w:t>Minutes recorded by Jason Torres. Subject: margin recovery program for Walker-Murray, mid-engagement working session with the client team.</w:t>
      </w:r>
    </w:p>
    <w:p>
      <w:pPr>
        <w:pStyle w:val="Heading2"/>
      </w:pPr>
      <w:r>
        <w:t>Attendees</w:t>
      </w:r>
    </w:p>
    <w:p>
      <w:pPr>
        <w:pStyle w:val="ListBullet"/>
      </w:pPr>
      <w:r>
        <w:t>Jason Torres, Principal</w:t>
      </w:r>
    </w:p>
    <w:p>
      <w:pPr>
        <w:pStyle w:val="ListBullet"/>
      </w:pPr>
      <w:r>
        <w:t>Melissa Casey, Research Associate</w:t>
      </w:r>
    </w:p>
    <w:p>
      <w:pPr>
        <w:pStyle w:val="ListBullet"/>
      </w:pPr>
      <w:r>
        <w:t>James Green, Senior Associate</w:t>
      </w:r>
    </w:p>
    <w:p>
      <w:pPr>
        <w:pStyle w:val="ListBullet"/>
      </w:pPr>
      <w:r>
        <w:t>Steven Sanchez, Research Associate</w:t>
      </w:r>
    </w:p>
    <w:p>
      <w:pPr>
        <w:pStyle w:val="ListBullet"/>
      </w:pPr>
      <w:r>
        <w:t>James Keller, Director of Operations, Walker-Murray</w:t>
      </w:r>
    </w:p>
    <w:p>
      <w:pPr>
        <w:pStyle w:val="Heading2"/>
      </w:pPr>
      <w:r>
        <w:t>Where the margin baseline stands</w:t>
      </w:r>
    </w:p>
    <w:p>
      <w:r>
        <w:t>James Green walked the group through the margin baseline, now reconciled to the management accounts across the main product lines. The reconciliation ties within a tolerance the client's finance staff accepts, which lets us build on the baseline rather than relitigate it in every session. The central point is that the erosion is broader than a single cause: pricing, the cost of delivery, and customer mix each account for a meaningful part of the gap, and none of them can be treated as the whole of it. That distinction matters for what follows, because it means the recovery will come from several coordinated moves rather than one large correction. James Keller confirmed that the figures match how his own team reads the accounts, and noted that the product-line view in particular is one they had not previously had in this form.</w:t>
      </w:r>
    </w:p>
    <w:p>
      <w:pPr>
        <w:pStyle w:val="Heading2"/>
      </w:pPr>
      <w:r>
        <w:t>Findings on pricing and mix</w:t>
      </w:r>
    </w:p>
    <w:p>
      <w:r>
        <w:t>Melissa Casey presented the pricing analysis. Realized prices sit below list more often, and by more, on the largest accounts than the discount policy would suggest, and the gap is widest where a single salesperson holds the relationship without a second approval. The pattern is consistent enough to point to practice rather than to a handful of exceptions. On mix, Steven Sanchez showed that a small number of customers and product lines carry margin well below the average, and that the same accounts tend to draw the most service, so the cost of holding them is higher than the price alone suggests. The client team did not dispute the direction, though James Keller noted that two of the low-margin accounts are held for strategic reasons the analysis on its own would not see, and asked that they be handled separately.</w:t>
      </w:r>
    </w:p>
    <w:p>
      <w:pPr>
        <w:pStyle w:val="Heading2"/>
      </w:pPr>
      <w:r>
        <w:t>Open questions</w:t>
      </w:r>
    </w:p>
    <w:p>
      <w:r>
        <w:t>Two questions were left open, and both bear on where the recovery initiatives eventually land. The first is the treatment of the strategically held accounts, which we will size but flag separately rather than fold into the general recommendation, so the client can weigh them on their own terms. The second is whether the pricing pattern found in the largest accounts holds through the mid-sized book, which the next data cut will settle; if it does, the case for a firmer approval step is stronger, and if it does not, the recommendation narrows to the top accounts.</w:t>
      </w:r>
    </w:p>
    <w:p>
      <w:pPr>
        <w:pStyle w:val="Heading2"/>
      </w:pPr>
      <w:r>
        <w:t>What the client will provide</w:t>
      </w:r>
    </w:p>
    <w:p>
      <w:r>
        <w:t>Two inputs are owed from the client side before the next session, and both are on the critical path for the initiative design. James Keller will pull the approval history for discounts granted above policy on the largest accounts, which turns the pricing pattern from an inference into something we can show account by account. His team will also confirm the handful of accounts held for strategic reasons, so we can set them aside cleanly rather than guessing at the boundary. Neither is a heavy lift, and having both in hand lets the next working session open on the recommendation rather than on the evidence.</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Extend the realized-price analysis to the mid-sized accounts and confirm whether the discount pattern holds</w:t>
            </w:r>
          </w:p>
        </w:tc>
        <w:tc>
          <w:tcPr>
            <w:tcW w:type="dxa" w:w="2880"/>
          </w:tcPr>
          <w:p>
            <w:r>
              <w:t>Melissa Casey</w:t>
            </w:r>
          </w:p>
        </w:tc>
        <w:tc>
          <w:tcPr>
            <w:tcW w:type="dxa" w:w="2880"/>
          </w:tcPr>
          <w:p>
            <w:r>
              <w:t>Before the next working session</w:t>
            </w:r>
          </w:p>
        </w:tc>
      </w:tr>
      <w:tr>
        <w:tc>
          <w:tcPr>
            <w:tcW w:type="dxa" w:w="2880"/>
          </w:tcPr>
          <w:p>
            <w:r>
              <w:t>Complete the customer and product profitability cut and separate out the strategically held accounts</w:t>
            </w:r>
          </w:p>
        </w:tc>
        <w:tc>
          <w:tcPr>
            <w:tcW w:type="dxa" w:w="2880"/>
          </w:tcPr>
          <w:p>
            <w:r>
              <w:t>Steven Sanchez</w:t>
            </w:r>
          </w:p>
        </w:tc>
        <w:tc>
          <w:tcPr>
            <w:tcW w:type="dxa" w:w="2880"/>
          </w:tcPr>
          <w:p>
            <w:r>
              <w:t>With the draft findings</w:t>
            </w:r>
          </w:p>
        </w:tc>
      </w:tr>
      <w:tr>
        <w:tc>
          <w:tcPr>
            <w:tcW w:type="dxa" w:w="2880"/>
          </w:tcPr>
          <w:p>
            <w:r>
              <w:t>Provide the approval history for discounts granted above policy on the largest accounts</w:t>
            </w:r>
          </w:p>
        </w:tc>
        <w:tc>
          <w:tcPr>
            <w:tcW w:type="dxa" w:w="2880"/>
          </w:tcPr>
          <w:p>
            <w:r>
              <w:t>James Keller</w:t>
            </w:r>
          </w:p>
        </w:tc>
        <w:tc>
          <w:tcPr>
            <w:tcW w:type="dxa" w:w="2880"/>
          </w:tcPr>
          <w:p>
            <w:r>
              <w:t>Within two weeks</w:t>
            </w:r>
          </w:p>
        </w:tc>
      </w:tr>
      <w:tr>
        <w:tc>
          <w:tcPr>
            <w:tcW w:type="dxa" w:w="2880"/>
          </w:tcPr>
          <w:p>
            <w:r>
              <w:t>Consolidate the findings into a first cut of recovery initiatives for internal review</w:t>
            </w:r>
          </w:p>
        </w:tc>
        <w:tc>
          <w:tcPr>
            <w:tcW w:type="dxa" w:w="2880"/>
          </w:tcPr>
          <w:p>
            <w:r>
              <w:t>James Green</w:t>
            </w:r>
          </w:p>
        </w:tc>
        <w:tc>
          <w:tcPr>
            <w:tcW w:type="dxa" w:w="2880"/>
          </w:tcPr>
          <w:p>
            <w:r>
              <w:t>Ahead of the status report</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Margin Recovery Program for Walker-Murray</dc:title>
  <dc:subject/>
  <dc:creator>Jason Torres</dc:creator>
  <cp:keywords/>
  <dc:description>generated by python-docx</dc:description>
  <cp:lastModifiedBy>Jason Torres</cp:lastModifiedBy>
  <cp:revision>1</cp:revision>
  <dcterms:created xsi:type="dcterms:W3CDTF">2022-08-08T09:00:00Z</dcterms:created>
  <dcterms:modified xsi:type="dcterms:W3CDTF">2022-08-08T09:00:00Z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