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Recovery Initiatives and Roadmap</w:t>
      </w:r>
    </w:p>
    <w:p>
      <w:r>
        <w:t>Minutes recorded by Jason Torres. Subject: margin recovery program for Walker-Murray, working session on the recovery initiatives and the implementation roadmap.</w:t>
      </w:r>
    </w:p>
    <w:p>
      <w:pPr>
        <w:pStyle w:val="Heading2"/>
      </w:pPr>
      <w:r>
        <w:t>Attendees</w:t>
      </w:r>
    </w:p>
    <w:p>
      <w:pPr>
        <w:pStyle w:val="ListBullet"/>
      </w:pPr>
      <w:r>
        <w:t>Jason Torres, Principal</w:t>
      </w:r>
    </w:p>
    <w:p>
      <w:pPr>
        <w:pStyle w:val="ListBullet"/>
      </w:pPr>
      <w:r>
        <w:t>Melissa Casey, Research Associate</w:t>
      </w:r>
    </w:p>
    <w:p>
      <w:pPr>
        <w:pStyle w:val="ListBullet"/>
      </w:pPr>
      <w:r>
        <w:t>James Green, Senior Associate</w:t>
      </w:r>
    </w:p>
    <w:p>
      <w:pPr>
        <w:pStyle w:val="ListBullet"/>
      </w:pPr>
      <w:r>
        <w:t>James Keller, Director of Operations, Walker-Murray</w:t>
      </w:r>
    </w:p>
    <w:p>
      <w:pPr>
        <w:pStyle w:val="Heading2"/>
      </w:pPr>
      <w:r>
        <w:t>The initiatives as they stand</w:t>
      </w:r>
    </w:p>
    <w:p>
      <w:r>
        <w:t>James Green presented the ranked set of recovery initiatives, now sized against the baseline and ordered by what each returns relative to the effort it takes to land. The two that lead the list are the tightening of discount approval on the largest accounts and the renegotiation of terms on the lowest-margin product lines. Both turn on decisions the company already controls, and neither depends on a system change or a long build, which is why they sit at the top. James Green also noted that the sizing on the initiatives further down the list will firm up once the mid-sized account data is fully in; the ranking is unlikely to move, but the figures behind it will tighten. James Keller agreed that the two lead initiatives are the ones his team can move on first.</w:t>
      </w:r>
    </w:p>
    <w:p>
      <w:pPr>
        <w:pStyle w:val="Heading2"/>
      </w:pPr>
      <w:r>
        <w:t>Roadmap and ownership</w:t>
      </w:r>
    </w:p>
    <w:p>
      <w:r>
        <w:t>Melissa Casey walked the group through the sequencing. The first wave is the pricing and approval changes, which can begin as soon as the policy is adopted and a second approver is named for discounts above threshold. The second wave addresses the low-margin accounts and product lines, which need more preparation because they touch customer relationships directly and cannot be moved as quickly as an internal approval step. James Keller asked that the strategically held accounts stay flagged and excluded from the general recommendation, and the roadmap now reflects that. On the client side, ownership will sit with his office for the pricing changes and with the commercial leads for the account work, and Melissa Casey will hold the master sequence so the dependencies between the two waves stay visible.</w:t>
      </w:r>
    </w:p>
    <w:p>
      <w:pPr>
        <w:pStyle w:val="Heading2"/>
      </w:pPr>
      <w:r>
        <w:t>Open points</w:t>
      </w:r>
    </w:p>
    <w:p>
      <w:r>
        <w:t>Two points remain open. The benefit case for the second wave depends on figures the commercial team still owes us, and until they arrive the range on that wave stays wider than we would like. The final roadmap also cannot be dated until the client confirms when the pricing policy will go to its leadership for adoption, since the first wave keys off that decision. Both points sit on the client's side, and neither blocks the pricing wave, which can proceed on its own while the rest is settled.</w:t>
      </w:r>
    </w:p>
    <w:p>
      <w:pPr>
        <w:pStyle w:val="Heading2"/>
      </w:pPr>
      <w:r>
        <w:t>Toward the closing report</w:t>
      </w:r>
    </w:p>
    <w:p>
      <w:r>
        <w:t>Jason Torres closed the session on where this leaves the engagement. The remaining work is to finalize the initiatives and the roadmap and to set them down in a closing report the client leadership can act from. The intent is that the report asks for a small number of clear decisions, each paired with the evidence needed to make it, rather than leaving the client to assemble the case for themselves.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Finalize the ranked initiatives with their sizing and present them in the closing report</w:t>
            </w:r>
          </w:p>
        </w:tc>
        <w:tc>
          <w:tcPr>
            <w:tcW w:type="dxa" w:w="2880"/>
          </w:tcPr>
          <w:p>
            <w:r>
              <w:t>James Green</w:t>
            </w:r>
          </w:p>
        </w:tc>
        <w:tc>
          <w:tcPr>
            <w:tcW w:type="dxa" w:w="2880"/>
          </w:tcPr>
          <w:p>
            <w:r>
              <w:t>With the final report</w:t>
            </w:r>
          </w:p>
        </w:tc>
      </w:tr>
      <w:tr>
        <w:tc>
          <w:tcPr>
            <w:tcW w:type="dxa" w:w="2880"/>
          </w:tcPr>
          <w:p>
            <w:r>
              <w:t>Complete the roadmap sequencing and mark the dependencies on client decisions</w:t>
            </w:r>
          </w:p>
        </w:tc>
        <w:tc>
          <w:tcPr>
            <w:tcW w:type="dxa" w:w="2880"/>
          </w:tcPr>
          <w:p>
            <w:r>
              <w:t>Melissa Casey</w:t>
            </w:r>
          </w:p>
        </w:tc>
        <w:tc>
          <w:tcPr>
            <w:tcW w:type="dxa" w:w="2880"/>
          </w:tcPr>
          <w:p>
            <w:r>
              <w:t>Before the final report</w:t>
            </w:r>
          </w:p>
        </w:tc>
      </w:tr>
      <w:tr>
        <w:tc>
          <w:tcPr>
            <w:tcW w:type="dxa" w:w="2880"/>
          </w:tcPr>
          <w:p>
            <w:r>
              <w:t>Name a second approver for above-threshold discounts and confirm the adoption timing for the pricing policy</w:t>
            </w:r>
          </w:p>
        </w:tc>
        <w:tc>
          <w:tcPr>
            <w:tcW w:type="dxa" w:w="2880"/>
          </w:tcPr>
          <w:p>
            <w:r>
              <w:t>James Keller</w:t>
            </w:r>
          </w:p>
        </w:tc>
        <w:tc>
          <w:tcPr>
            <w:tcW w:type="dxa" w:w="2880"/>
          </w:tcPr>
          <w:p>
            <w:r>
              <w:t>Within two weeks</w:t>
            </w:r>
          </w:p>
        </w:tc>
      </w:tr>
      <w:tr>
        <w:tc>
          <w:tcPr>
            <w:tcW w:type="dxa" w:w="2880"/>
          </w:tcPr>
          <w:p>
            <w:r>
              <w:t>Review the draft recommendations before they go to the client leadership</w:t>
            </w:r>
          </w:p>
        </w:tc>
        <w:tc>
          <w:tcPr>
            <w:tcW w:type="dxa" w:w="2880"/>
          </w:tcPr>
          <w:p>
            <w:r>
              <w:t>Jason Torres</w:t>
            </w:r>
          </w:p>
        </w:tc>
        <w:tc>
          <w:tcPr>
            <w:tcW w:type="dxa" w:w="2880"/>
          </w:tcPr>
          <w:p>
            <w:r>
              <w:t>Ahead of the final report</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Margin Recovery Program for Walker-Murray</dc:title>
  <dc:subject/>
  <dc:creator>Jason Torres</dc:creator>
  <cp:keywords/>
  <dc:description>generated by python-docx</dc:description>
  <cp:lastModifiedBy>Jason Torres</cp:lastModifiedBy>
  <cp:revision>1</cp:revision>
  <dcterms:created xsi:type="dcterms:W3CDTF">2022-11-07T09:00:00Z</dcterms:created>
  <dcterms:modified xsi:type="dcterms:W3CDTF">2022-11-07T09:00:00Z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