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Calderwood Partners</w:t>
      </w:r>
    </w:p>
    <w:p>
      <w:r>
        <w:t>Calderwood Partners is a general management consulting firm. We were founded in 2007 to do a specific kind of work: helping mid-market industrial and services companies think clearly about how they are run, what they spend, and where their next growth comes from. These are companies large enough to have real complexity and small enough that a wrong call is felt across the whole business within a quarter or two. We keep our book of engagements deliberately manageable and staff each one with people who stay on the file from the first meeting to the last, so that the client is never handed off to a team that has to learn the situation over again.</w:t>
      </w:r>
    </w:p>
    <w:p>
      <w:pPr>
        <w:pStyle w:val="Heading2"/>
      </w:pPr>
      <w:r>
        <w:t>What we do</w:t>
      </w:r>
    </w:p>
    <w:p>
      <w:r>
        <w:t>Our work falls into three related areas. The first is operating model: how a company is organized, where its decisions are made, and whether its structure still fits the business it has become rather than the one it used to be. The second is cost, where we help management see the cost base plainly and decide what to change without cutting into the parts of the company that actually earn. The third is growth, which for our clients usually means getting more out of the markets and channels they already serve before reaching for new ones. Most engagements touch more than one of these areas; few clients arrive with a problem that stays neatly inside a single box, and part of our job in the first weeks is to say plainly which problem is actually the one worth solving.</w:t>
      </w:r>
    </w:p>
    <w:p>
      <w:pPr>
        <w:pStyle w:val="Heading2"/>
      </w:pPr>
      <w:r>
        <w:t>How an engagement runs</w:t>
      </w:r>
    </w:p>
    <w:p>
      <w:r>
        <w:t>An engagement begins with a letter that sets scope, fees, and terms, and a kickoff that frames the first weeks of work. From there the pattern is steady. Working sessions with the client team produce written minutes. The client executive who owns the relationship gets a periodic status report. A briefing to the wider group lands at the point where the analysis is far enough along to defend. Between the formal deliverables there is a continual exchange of shorter notes about data, access, and scheduling, often running a day or two between replies. We put things in writing because an engagement runs on a record its participants can return to, not on what anyone remembers of the last conversation.</w:t>
      </w:r>
    </w:p>
    <w:p>
      <w:pPr>
        <w:pStyle w:val="Heading2"/>
      </w:pPr>
      <w:r>
        <w:t>Representative work</w:t>
      </w:r>
    </w:p>
    <w:p>
      <w:r>
        <w:t>The engagements we point to when clients ask for references are a sample of our 2008 work, chosen because they show the kind of problem we take on, not because they are the whole of what we do. One such engagement is our work with Hughes Group, where the question on the table was a familiar one for a company of its size and stage. We offer it, and the others like it, as illustrations of how we work rather than as an inventory of our clients. What a prospective client should take from an example is the shape of the engagement and the way we run it, not a claim that our practice begins and ends with the names we happen to be free to mention.</w:t>
      </w:r>
    </w:p>
    <w:p>
      <w:pPr>
        <w:pStyle w:val="Heading2"/>
      </w:pPr>
      <w:r>
        <w:t>The firm</w:t>
      </w:r>
    </w:p>
    <w:p>
      <w:r>
        <w:t>The firm is led by Julie Ramsey, Managing Principal, who sets what we will and will not put our name to and holds the writing that leaves the office to a plain standard. Engagements are staffed and kept on schedule by Jeffrey Jackson, Director of Operations, whose job is to see that the right people are on the right file at the right time. Below them the practice is built around a compact group of principals, managers, associates, and research staff who move across engagements as the work requires. We hire for judgment and for clear writing, and we ask everyone, from the newest associate up, to state a recommendation plainly and let the analysis stand behind it.</w:t>
      </w:r>
    </w:p>
    <w:p>
      <w:r>
        <w:t>We prefer to be measured by the work itself, not by any account of it. When the fit is right, the engagement letter is where we begin.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Julie Ramsey</dc:creator>
  <cp:keywords/>
  <dc:description>generated by python-docx</dc:description>
  <cp:lastModifiedBy>Julie Ramsey</cp:lastModifiedBy>
  <cp:revision>1</cp:revision>
  <dcterms:created xsi:type="dcterms:W3CDTF">2008-06-17T09:00:00Z</dcterms:created>
  <dcterms:modified xsi:type="dcterms:W3CDTF">2008-06-17T09:00:00Z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