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About Calderwood Partners</w:t>
      </w:r>
    </w:p>
    <w:p>
      <w:r>
        <w:t>Calderwood Partners is a general management consulting firm. Since 2007 we have worked with mid-market industrial and services companies on the questions that decide how well a business runs: how it is organized, what it costs to operate, and where its next growth is going to come from. Our clients are large enough to carry real complexity and small enough that a decision made at the top is felt across the whole company within a quarter or two. Most of them come to us at a point of change: a new owner, a merger, a market that has shifted under a business built for the last one, a moment when the question in front of them is larger than the answers already in the building. We keep the number of engagements we run at any one time deliberately contained, and we staff each one with people who stay on it from the first meeting to the last, so that no client has to explain its situation twice to a team that has changed underneath it.</w:t>
      </w:r>
    </w:p>
    <w:p>
      <w:pPr>
        <w:pStyle w:val="Heading2"/>
      </w:pPr>
      <w:r>
        <w:t>The problems we take on</w:t>
      </w:r>
    </w:p>
    <w:p>
      <w:r>
        <w:t>Our work sorts into three related areas. Operating model is the question of how a company is put together: where its decisions are made, how its functions fit one another, and whether the structure it carries still matches the business it has become. Cost is the work of seeing the cost base plainly and deciding what to change in it without cutting into the parts of the company that actually earn. Growth, for most of our clients, means getting more out of the markets and channels they already serve before they reach for new ones. Few clients arrive with a problem that stays inside one of these boxes, and a good part of the opening weeks of any engagement goes to agreeing which problem is the one actually worth solving.</w:t>
      </w:r>
    </w:p>
    <w:p>
      <w:pPr>
        <w:pStyle w:val="Heading2"/>
      </w:pPr>
      <w:r>
        <w:t>How an engagement runs</w:t>
      </w:r>
    </w:p>
    <w:p>
      <w:r>
        <w:t>An engagement opens with a letter that sets scope, fee, and terms, and a kickoff that frames the first weeks. From there the rhythm is steady. Working sessions with the client team produce written minutes. The executive who owns the relationship receives a status report at regular points. A briefing to the wider group lands once the analysis is far enough along to stand up to questions. Around those set pieces runs a continual exchange of shorter notes about data, access, and scheduling, often a day or two between replies. We work on the record because an engagement should rest on something its participants can return to and read, not on anyone's memory of the last meeting.</w:t>
      </w:r>
    </w:p>
    <w:p>
      <w:pPr>
        <w:pStyle w:val="Heading2"/>
      </w:pPr>
      <w:r>
        <w:t>A sample of our work</w:t>
      </w:r>
    </w:p>
    <w:p>
      <w:r>
        <w:t>When a prospective client asks for a sense of what we do, we point to a set of engagements chosen because they show the shape of the work. That sample spans our operating-model, cost, and growth practice across the last several years, and it includes our work with Hughes Group, Brown and Sons, Key Group, Carroll, Merritt and Williams, Garza, Leblanc and Porter, Poole, Mcknight and Rush, Scott, Smith and Edwards, and Stark-Wilson. We offer these as illustrations of the kind of problem we are asked to solve and the way we run a file. They are examples drawn from a larger book of work, and a prospective client should read them for the character of an engagement here, not as an inventory of who we work with or a measure of the practice's size.</w:t>
      </w:r>
    </w:p>
    <w:p>
      <w:pPr>
        <w:pStyle w:val="Heading2"/>
      </w:pPr>
      <w:r>
        <w:t>The firm</w:t>
      </w:r>
    </w:p>
    <w:p>
      <w:r>
        <w:t>The firm is led by Julie Ramsey, Managing Principal, who decides what we will and will not put the firm's name to and holds the writing that leaves the office to a plain standard. The staffing and scheduling of engagements sit with Jeffrey Jackson, Director of Operations, whose charge is to see that the right people are on the right file at the right time. Beneath them the practice runs on a compact group of principals, engagement managers, associates, and research staff who move across engagements as the work calls for. We hire for judgment and for clear writing, and we ask everyone, from the newest research associate up, to state a recommendation plainly and let the analysis carry it.</w:t>
      </w:r>
    </w:p>
    <w:p>
      <w:r>
        <w:t>A company weighing one of these questions is welcome to ask us for references and to talk the problem through before any letter is drawn up. When the fit is right, the engagement letter comes first, and it sets out scope, fee, and terms in writing before any work begins.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Ramsey</dc:creator>
  <cp:keywords/>
  <dc:description>generated by python-docx</dc:description>
  <cp:lastModifiedBy>Julie Ramsey</cp:lastModifiedBy>
  <cp:revision>1</cp:revision>
  <dcterms:created xsi:type="dcterms:W3CDTF">2011-06-17T09:00:00Z</dcterms:created>
  <dcterms:modified xsi:type="dcterms:W3CDTF">2011-06-17T09:00:00Z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