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Calderwood Partners: Firm Overview</w:t>
      </w:r>
    </w:p>
    <w:p>
      <w:r>
        <w:t>Calderwood Partners is a general management consulting firm. We work with mid-market industrial and services companies on the questions that decide how well a business runs and how far it can grow: how the organization is put together, what it costs to operate, and where the next stage of growth is going to come from. Our clients are usually large enough to feel the weight of their own structure and small enough that they do not keep a full internal strategy staff on hand. That is the space the firm was built for. Most of our work arrives by referral or repeat engagement rather than by pitch, and we keep a deliberately light footprint, willing to say when a problem is not one we are the right people to solve.</w:t>
      </w:r>
    </w:p>
    <w:p>
      <w:pPr>
        <w:pStyle w:val="Heading2"/>
      </w:pPr>
      <w:r>
        <w:t>Service lines</w:t>
      </w:r>
    </w:p>
    <w:p>
      <w:r>
        <w:t>The practice is organized around three kinds of work. The first is operating model and organization design: how a company is structured, where decisions are made, and whether the shape of the organization still fits the business it has become. The second is cost and margin: understanding what drives the cost base, finding the room in it, and holding onto the gains once they are made. The third is growth and commercial strategy: where a company should place its next bets, which markets and customers are worth the effort, and what has to be true for the growth to hold. Most engagements touch more than one of these. Few companies have a problem that stays neatly inside a single line, and where a client is unsure which of these their problem really is, sorting that out is often the first useful thing we do.</w:t>
      </w:r>
    </w:p>
    <w:p>
      <w:pPr>
        <w:pStyle w:val="Heading2"/>
      </w:pPr>
      <w:r>
        <w:t>How we work</w:t>
      </w:r>
    </w:p>
    <w:p>
      <w:r>
        <w:t>We staff small and senior. A client should expect to see the people who sold the work doing the work, not a large team assembled after the fact. We write plainly, we lead with the recommendation, and we are careful to separate what the analysis shows from what we believe follows from it. When the evidence is thin, we say so instead of dressing it up. We keep engagements short enough to stay urgent and long enough to leave something durable. A narrowly scoped piece of work that gets finished serves a client better than an open-ended program, and we scope accordingly. The aim on every engagement is to leave the client able to carry the change forward without us, which is a harder standard than leaving behind a report.</w:t>
      </w:r>
    </w:p>
    <w:p>
      <w:pPr>
        <w:pStyle w:val="Heading2"/>
      </w:pPr>
      <w:r>
        <w:t>Who we work with</w:t>
      </w:r>
    </w:p>
    <w:p>
      <w:r>
        <w:t>Our clients are concentrated in industrial manufacturing, distribution, and business services. They tend to be privately held or recently changed hands, often with a management team that knows the business intimately and wants a second, independent read on a decision that is hard to make from the inside. We are frequently brought in around an inflection: a new owner, a stalled margin, an organization that has outgrown the way it was first built. We are comfortable being the outside voice in those rooms, and comfortable being told we are wrong when the client knows something we do not. We work under the client's confidentiality as a matter of course, and much of our best work is never something we can point to by name.</w:t>
      </w:r>
    </w:p>
    <w:p>
      <w:pPr>
        <w:pStyle w:val="Heading2"/>
      </w:pPr>
      <w:r>
        <w:t>Representative engagements</w:t>
      </w:r>
    </w:p>
    <w:p>
      <w:r>
        <w:t>The companies below are offered as examples of the kind of work we do, not as a full account of our clients. Representative engagements include work with Hughes Group, Brown and Sons, Key Group, Carroll, Merritt and Williams, and Garza, Leblanc and Porter. Others we have advised include Poole, Mcknight and Rush, Scott, Smith and Edwards, Stark-Wilson, Garcia-Werner, Walker-Murray, and Pacheco-Casey. These span the industrial and services sectors we know best, and they are a sample of a broader book rather than the whole of it. What the companies have in common is not their industry but their moment: each came to us at a point where the way the business was run had to change for it to keep growing.</w:t>
      </w:r>
    </w:p>
    <w:p>
      <w:r>
        <w:t>We are deliberately a firm of modest size, and we intend to compete on the quality of the thinking rather than the reach of the name on the door. If the questions above are the questions in front of you, we would welcome the conversation.</w:t>
      </w:r>
    </w:p>
    <w:p>
      <w:r>
        <w:t>Julie Ramsey, Managing Principal</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Julie Ramsey</dc:creator>
  <cp:keywords/>
  <dc:description>generated by python-docx</dc:description>
  <cp:lastModifiedBy>Julie Ramsey</cp:lastModifiedBy>
  <cp:revision>1</cp:revision>
  <dcterms:created xsi:type="dcterms:W3CDTF">2014-06-16T09:00:00Z</dcterms:created>
  <dcterms:modified xsi:type="dcterms:W3CDTF">2014-06-16T09:00:00Z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