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Calderwood Partners: An Introduction</w:t>
      </w:r>
    </w:p>
    <w:p>
      <w:r>
        <w:t>Calderwood Partners is a management consulting firm that has advised mid-market companies since 2007. Our clients are industrial and services businesses, large enough to carry genuine operating complexity across their functions and small enough that a decision taken at the top is felt across the whole company within a year. We are engaged, for the most part, at a point of change the business cannot absorb with the structure and habits it already has: a new owner, a combination with another company, a market that has shifted beneath a model built for an earlier one. What follows sets out, without embellishment, what the firm does and the kind of problem it is asked to take on.</w:t>
      </w:r>
    </w:p>
    <w:p>
      <w:pPr>
        <w:pStyle w:val="Heading2"/>
      </w:pPr>
      <w:r>
        <w:t>Where our work concentrates</w:t>
      </w:r>
    </w:p>
    <w:p>
      <w:r>
        <w:t>The questions we take on fall into three related areas, and few clients arrive with one that stays neatly inside a single boundary. The first is operating model: how a company is organized, where its decisions are made, and whether the structure it carries still fits the business it has become. The second is cost: seeing the cost base as it actually is, and deciding what to change in it without cutting into the parts of the company that earn their keep. The third is growth, which for most of our clients means drawing more from the markets and channels they already hold before reaching for unfamiliar ones. A meaningful share of the opening weeks of any engagement goes to agreeing which of these is the problem genuinely worth solving, because the question a client presents and the question underneath it are not always the same.</w:t>
      </w:r>
    </w:p>
    <w:p>
      <w:pPr>
        <w:pStyle w:val="Heading2"/>
      </w:pPr>
      <w:r>
        <w:t>Representative engagements</w:t>
      </w:r>
    </w:p>
    <w:p>
      <w:r>
        <w:t>The engagements named below are offered as a representative sample of our work, chosen because they show the character of what we do rather than to catalog it. Drawn from across our operating-model, cost, and growth practice, they include the firm's work with Hughes Group, Brown and Sons, Key Group, Carroll, Merritt and Williams, Garza, Leblanc and Porter, Poole, Mcknight and Rush, Scott, Smith and Edwards, Stark-Wilson, Garcia-Werner, Walker-Murray, Pacheco-Casey, Johnson, Lopez and Brooks, and Hughes Group. We put these forward as illustrations of the problems we are asked to solve and the way we run a file. They are examples taken from a wider book of work, and a reader should take them for the shape of an engagement at the firm, not as a roster of whom we serve or a measure of the practice's size.</w:t>
      </w:r>
    </w:p>
    <w:p>
      <w:pPr>
        <w:pStyle w:val="Heading2"/>
      </w:pPr>
      <w:r>
        <w:t>The conduct of an engagement</w:t>
      </w:r>
    </w:p>
    <w:p>
      <w:r>
        <w:t>An engagement opens with a letter that fixes scope, fee, and terms, and a kickoff that frames the first weeks of work. From there the rhythm is steady. Working sessions with the client team produce written minutes. The executive who owns the relationship receives a status report at regular points. A briefing to the wider group is delivered once the analysis is far enough along to withstand questioning. Around those set pieces runs a continual exchange of shorter notes on data, access, and scheduling. We keep the number of engagements we carry at any one time deliberately contained, and we staff each with people who remain on it from the first meeting to the last, so that no client is made to explain its situation twice to a team that has changed underneath it.</w:t>
      </w:r>
    </w:p>
    <w:p>
      <w:pPr>
        <w:pStyle w:val="Heading2"/>
      </w:pPr>
      <w:r>
        <w:t>What the firm holds to</w:t>
      </w:r>
    </w:p>
    <w:p>
      <w:r>
        <w:t>The firm is led by Julie Ramsey, Managing Principal, who decides what work the firm will put its name to and holds the writing that leaves the office to a plain standard: a recommendation stated first, the analysis made to carry it, and the padding struck out. Below her the practice runs on a compact group of principals, engagement managers, associates, and research staff who move across engagements as the work requires. We hire for judgment and for clear writing, and we ask everyone, from the newest research associate up, to state a conclusion plainly and let the evidence bear the weight of it. A company weighing one of the questions above is welcome to ask us for references and to talk the problem through before any letter is drawn. When the fit is right, the engagement letter comes first, and it sets out scope, fee, and terms in writing before any work begins.</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Firm Overview</dc:title>
  <dc:subject/>
  <dc:creator>Julie Ramsey</dc:creator>
  <cp:keywords/>
  <dc:description>generated by python-docx</dc:description>
  <cp:lastModifiedBy>Julie Ramsey</cp:lastModifiedBy>
  <cp:revision>1</cp:revision>
  <dcterms:created xsi:type="dcterms:W3CDTF">2017-06-15T09:00:00Z</dcterms:created>
  <dcterms:modified xsi:type="dcterms:W3CDTF">2017-06-15T09:00:00Z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