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Overview of Calderwood Partners</w:t>
      </w:r>
    </w:p>
    <w:p>
      <w:r>
        <w:t>Calderwood Partners is a general management consulting firm founded in 2007. For more than a decade we have worked with mid-market industrial and services companies on the questions that decide how well a business runs and where its next gains will come from. Our clients tend to be companies of a particular size: substantial enough to carry real complexity across their functions, and compact enough that a change decided at the top moves through the organization in a quarter or two rather than over a generation. Many come to us at a threshold, a moment when the question in front of the business has grown larger than the answers already inside it. This overview describes the practice, the kind of work we take on, and the way we run it.</w:t>
      </w:r>
    </w:p>
    <w:p>
      <w:pPr>
        <w:pStyle w:val="Heading2"/>
      </w:pPr>
      <w:r>
        <w:t>The practice</w:t>
      </w:r>
    </w:p>
    <w:p>
      <w:r>
        <w:t>Our work divides into three related areas. Operating model concerns how a company is assembled: where authority sits, how the functions fit one another, and whether the structure still matches the business the company has grown into. Cost is the discipline of seeing the cost base plainly and deciding what to change in it without damaging the parts of the company that actually earn. Growth, for most of the clients we serve, is less about new markets than about taking more from the ones already held, through the channels and customers a business already has. The boundaries between the three are porous, and a considerable part of any engagement's opening weeks is given over to establishing which problem is the one worth the firm's time and the client's.</w:t>
      </w:r>
    </w:p>
    <w:p>
      <w:pPr>
        <w:pStyle w:val="Heading2"/>
      </w:pPr>
      <w:r>
        <w:t>A selection of engagements</w:t>
      </w:r>
    </w:p>
    <w:p>
      <w:r>
        <w:t>When a prospective client asks what the work looks like in practice, we point to a set of engagements chosen to show its range rather than to enumerate it. From the firm's earlier years, the selection includes our work with Hughes Group, Brown and Sons, Key Group, Carroll, Merritt and Williams, Garza, Leblanc and Porter, Poole, Mcknight and Rush, Scott, Smith and Edwards, Stark-Wilson, and Garcia-Werner. From more recent years it includes Walker-Murray, Pacheco-Casey, Johnson, Lopez and Brooks, Hughes Group, Brown and Sons, Key Group, Carroll, Merritt and Williams, Garza, Leblanc and Porter, Poole, Mcknight and Rush, Scott, Smith and Edwards, and Stark-Wilson. These are illustrations, drawn from a broader body of work, of the problems we are asked to solve and the way we run a file. They should be read for the character of an engagement here, not as a complete account of the firm's clients or a gauge of its size.</w:t>
      </w:r>
    </w:p>
    <w:p>
      <w:pPr>
        <w:pStyle w:val="Heading2"/>
      </w:pPr>
      <w:r>
        <w:t>How an engagement proceeds</w:t>
      </w:r>
    </w:p>
    <w:p>
      <w:r>
        <w:t>Each engagement opens with a letter that sets scope, fee, and terms, and a kickoff that frames the first weeks. The cadence after that is deliberate. Working sessions with the client team are written up as minutes. The executive who holds the relationship receives a status report at regular intervals. A briefing to the wider group follows once the analysis can stand up to questioning. Between those fixed points runs a steady exchange of shorter notes on data, access, and scheduling, often a day or two between replies. We carry a contained number of engagements at any one time and keep the same people on a file from first meeting to last, so that a client never has to reintroduce its situation to a team that has turned over beneath it.</w:t>
      </w:r>
    </w:p>
    <w:p>
      <w:pPr>
        <w:pStyle w:val="Heading2"/>
      </w:pPr>
      <w:r>
        <w:t>How the firm is led</w:t>
      </w:r>
    </w:p>
    <w:p>
      <w:r>
        <w:t>Julie Ramsey, Managing Principal, leads the firm and decides what work it will put its name to. She holds everything that leaves the office to a plain standard, and the writing in a Calderwood engagement reflects it: the recommendation stated early, the analysis left to carry the weight, the hedging struck. Below her the practice is run by a compact group of principals, engagement managers, associates, and research staff who move across engagements as the work calls for them. A company weighing one of these questions is welcome to ask for references and to talk the matter through before any letter is drawn. When the fit is right, the letter comes first, and scope, fee, and terms are set in writing before work begins.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Julie Ramsey</dc:creator>
  <cp:keywords/>
  <dc:description>generated by python-docx</dc:description>
  <cp:lastModifiedBy>Julie Ramsey</cp:lastModifiedBy>
  <cp:revision>1</cp:revision>
  <dcterms:created xsi:type="dcterms:W3CDTF">2020-06-14T09:00:00Z</dcterms:created>
  <dcterms:modified xsi:type="dcterms:W3CDTF">2020-06-14T09:00:00Z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