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hire: Julie Parks, Senior Engagement Manager</w:t>
      </w:r>
    </w:p>
    <w:p>
      <w:r>
        <w:t>Julie Parks starts in the Advisory practice this week. Her title is Senior Engagement Manager, and the work is what the title says: she will run engagements day to day, hold the client to the plan, and see that each working session ends with minutes someone can act on. We hired her to take that load off the principals, and I expect her to have it in hand well before the quarter is out. She has run engagements like ours before, so the plan is to give her real responsibility early instead of keeping her in a long shadowing period she does not need.</w:t>
      </w:r>
    </w:p>
    <w:p>
      <w:r>
        <w:t>She reports to Jason Torres, Principal. Over the first two weeks Jason will hand her two of his active files, and I have asked that he do it cleanly instead of in pieces, so that Julie Parks owns those client relationships outright and not by half. Where a judgment call is genuinely his to make, she should route it through him; everything short of that is hers to carry. If a client keeps going over her head to Jason out of habit, that is ours to correct early, and I have told him the same.</w:t>
      </w:r>
    </w:p>
    <w:p>
      <w:r>
        <w:t>For the opening period her calendar is deliberately light. She should read into the back engagements, sit in on the Torres team's standing meetings, and meet the associates she will be staffing before she is asked to direct them. Systems access, expenses, and the rest of the administrative setup sit with Operations, who will find her in the first day or two. If the early weeks surface a question the desk cannot answer, she should bring it to me and not wait for a scheduled meeting to raise it.</w:t>
      </w:r>
    </w:p>
    <w:p>
      <w:r>
        <w:t>One thing is worth stating plainly, since she will be signing minutes and status notes that reach clients under the firm's name. Keep them short, put the decision or the ask at the top, and cut whatever only cushions it. That is the standard we hold everyone to, and it applies to her from the first document she sends out. If any of this needs a conversation rather than a memo, my door is open in the first weeks as much as after.</w:t>
      </w:r>
    </w:p>
    <w:p>
      <w:r>
        <w:t>Julie Ramsey, Managing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Julie Parks</dc:title>
  <dc:subject/>
  <dc:creator>Julie Ramsey</dc:creator>
  <cp:keywords/>
  <dc:description>generated by python-docx</dc:description>
  <cp:lastModifiedBy>Julie Ramsey</cp:lastModifiedBy>
  <cp:revision>1</cp:revision>
  <dcterms:created xsi:type="dcterms:W3CDTF">2008-01-25T09:00:00Z</dcterms:created>
  <dcterms:modified xsi:type="dcterms:W3CDTF">2008-01-25T09:00:00Z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