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note: Matthew Parrish, Research Associate</w:t>
      </w:r>
    </w:p>
    <w:p>
      <w:r>
        <w:t>Matthew Parrish joins the Advisory practice this week as a Research Associate. The seat is a supporting one, and it matters for that reason: the analytical teams build on the desk research he produces, and a file that is assembled well saves an engagement days of second-guessing later. His work is to pull the company and market material an engagement needs and to turn it around in a form the team can use without redoing it. We hired him because he works quickly and covers the ground in the same pass, which is the pairing this seat calls for, and because his shorthand is written for the people who have to act on it.</w:t>
      </w:r>
    </w:p>
    <w:p>
      <w:r>
        <w:t>He reports to Jason Torres, Principal. Jason will feed him the early requests and set the order they arrive in, so the first weeks build into a steady flow of real work. When two teams want the same hours from him, Jason decides; Matthew Parrish should carry that conflict up to him rather than work out for himself whose request waits. Anything he cannot settle with Jason, he can bring to me.</w:t>
      </w:r>
    </w:p>
    <w:p>
      <w:r>
        <w:t>The practical setup runs through Operations in the first day or two: systems, email, and expenses are theirs to arrange, and they will find him early in the week. His desk is on the analyst floor with the rest of Advisory. He should give the opening period to reading into a handful of recent files, so that he has a feel for the questions we are asked before those questions begin arriving on his desk. The prior deliverables sit on the shared drive, and looking at how past research was built and labeled will tell him more about our conventions than any briefing on them would.</w:t>
      </w:r>
    </w:p>
    <w:p>
      <w:r>
        <w:t>One habit counts for more than the others in this seat. When the material will not support what a team wants to claim, he should say so and mark the gap plainly. A note that is honest about what it could not establish is worth more to us than one that looks finished and hides a hole. Julie Ramsey will read a piece or two of his early work while the conventions are still settling, which is ordinary for a new associate and no cause for concern.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Matthew Parrish</dc:title>
  <dc:subject/>
  <dc:creator>Julie Ramsey</dc:creator>
  <cp:keywords/>
  <dc:description>generated by python-docx</dc:description>
  <cp:lastModifiedBy>Julie Ramsey</cp:lastModifiedBy>
  <cp:revision>1</cp:revision>
  <dcterms:created xsi:type="dcterms:W3CDTF">2009-11-19T09:00:00Z</dcterms:created>
  <dcterms:modified xsi:type="dcterms:W3CDTF">2009-11-19T09:00:00Z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