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research associate: John Vasquez</w:t>
      </w:r>
    </w:p>
    <w:p>
      <w:r>
        <w:t>John Vasquez starts with us this week as a Research Associate in the Advisory practice. His ground is industry and market background: the context an engagement sits inside, and the reason behind a figure that the bare number never explains on its own. That is useful work when it is done with judgment, and his has been. His notes tend to run a little longer than the desk average, and we are content with that where the extra length carries something a team would otherwise have missed.</w:t>
      </w:r>
    </w:p>
    <w:p>
      <w:r>
        <w:t>John Vasquez reports to Jason Torres, Principal. Jason will place him on live requests across the practice as they come up, so for the first stretch he should expect to be shared over several files at once rather than dedicated to one team. Where those calls on his time collide, Jason sorts the order. If John finds that the combined load has genuinely become too much to do well, he should say so early, while there is still room to rebalance it.</w:t>
      </w:r>
    </w:p>
    <w:p>
      <w:r>
        <w:t>Operations will set up his systems, email, and expenses in the first day or two, and his desk is on the analyst floor with the rest of Advisory. The opening week is for reading into a representative set of our recent engagements, so that he comes to his first request already knowing the kind of question we get and the way we frame an answer. He is welcome to sit in on a working session or two in these early weeks; it will tell him more about how we operate than the files alone will. He should also introduce himself to the teams whose requests he will be picking up, since a research note is easier to aim well when its author has some sense of who asked for it and why.</w:t>
      </w:r>
    </w:p>
    <w:p>
      <w:r>
        <w:t>A word on the standard we hold research to here. When the evidence for a claim is thin, he should say so plainly and set out what the sources do and do not establish. A finding the data only half-supports should read that way on the page. He has that instinct already, from what we have seen of his work, and we want him to keep it as the requests start to move faster. If a question comes up in the early going that no one on his teams can answer, my door is open in these first weeks.</w:t>
      </w:r>
    </w:p>
    <w:p>
      <w:r>
        <w:t>Julie Ramsey, Managing Principal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John Vasquez</dc:title>
  <dc:subject/>
  <dc:creator>Julie Ramsey</dc:creator>
  <cp:keywords/>
  <dc:description>generated by python-docx</dc:description>
  <cp:lastModifiedBy>Julie Ramsey</cp:lastModifiedBy>
  <cp:revision>1</cp:revision>
  <dcterms:created xsi:type="dcterms:W3CDTF">2011-11-04T09:00:00Z</dcterms:created>
  <dcterms:modified xsi:type="dcterms:W3CDTF">2011-11-04T09:00:00Z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