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Onboarding: Brenda Clayton, Consultant</w:t>
      </w:r>
    </w:p>
    <w:p>
      <w:r>
        <w:t>Brenda Clayton comes to us as a Consultant in the Advisory practice. She joins on the operating-model work, which is the core of what we sell: taking apart how a company is organized and run, finding where the structure no longer fits the business, and making the case for a change the client can actually carry out. It is analytical work that lives or dies on a tight argument, and she is good at building one and letting it stand on its own rather than overselling it. Her drafts are lean and she is reluctant to overstate, so her conclusions tend to land with a quiet confidence instead of a hard sell. That fits how we like to work.</w:t>
      </w:r>
    </w:p>
    <w:p>
      <w:r>
        <w:t>As a Consultant she will run analysis and own pieces of an engagement directly, working alongside the associates rather than only through them. Brenda reports to Jason Torres, Principal. He will staff her onto live work and set her priorities across engagements. She should take scheduling conflicts and questions of scope to him; anything that needs a call above that level can come to me. In her first weeks I would have her and Jason settle directly which engagements she carries and what he wants to see before anything reaches a client.</w:t>
      </w:r>
    </w:p>
    <w:p>
      <w:r>
        <w:t>I do not expect her to spend long ramping up. In the first weeks she should read into the two or three engagements she is most likely to touch and get current on where each one stands, and she should meet the associates whose research she will be building on. Operations handles her setup in the opening days. The client material she will be working from is confidential, and she should handle it accordingly from the first day. The sooner she is into real analysis the better, and the operating-model files on the shared drive are the best guide we have to how these problems get framed here.</w:t>
      </w:r>
    </w:p>
    <w:p>
      <w:r>
        <w:t>One thing is worth saying at the start. Our recommendations carry weight because we are careful to separate what the analysis shows from what we think should follow, and to be honest about the seam between them. She should hold to that even when a client is pressing for a cleaner answer than the evidence supports. Julie Ramsey and Jason will both read her early work closely, less to check it than to get a feel for how she thinks, which is normal for anyone joining at this level.</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Brenda Clayton</dc:title>
  <dc:subject/>
  <dc:creator>Julie Ramsey</dc:creator>
  <cp:keywords/>
  <dc:description>generated by python-docx</dc:description>
  <cp:lastModifiedBy>Julie Ramsey</cp:lastModifiedBy>
  <cp:revision>1</cp:revision>
  <dcterms:created xsi:type="dcterms:W3CDTF">2015-06-12T09:00:00Z</dcterms:created>
  <dcterms:modified xsi:type="dcterms:W3CDTF">2015-06-12T09:00:00Z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