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Steven Hunt, Research Associate</w:t>
      </w:r>
    </w:p>
    <w:p>
      <w:r>
        <w:t>Steven Hunt joins the Advisory practice this week as a Research Associate. His ground is the market and competitor side of our research: the outside picture an engagement depends on, the read of who else occupies a client's market and how they are moving in it. He takes in a landscape quickly and is willing to say early what he thinks it means, which is useful on a file that cannot wait for certainty, so long as the early read is labeled for what it is. That pairing of pace and candor is what we hired him for, and it is well suited to the seat.</w:t>
      </w:r>
    </w:p>
    <w:p>
      <w:r>
        <w:t>Steven Hunt reports to Jason Torres, Principal. Jason will hand him his first requests and set the order in which they arrive, so that the opening weeks build into a steady flow rather than landing all at once. In these first weeks he should treat those early assignments as a way of learning the range of what we ask for, not only the tasks in front of him. When two teams want the same hours from him, Jason decides; Steven should bring that conflict up rather than settle for himself whose request waits.</w:t>
      </w:r>
    </w:p>
    <w:p>
      <w:r>
        <w:t>The practical setup runs through Operations in the first day or two, and his desk is on the analyst floor with the rest of Advisory. The opening week is best spent reading into a handful of recent files, so that he has a feel for the questions we are asked before they begin arriving on his desk. One point is specific to how he writes. His notes are lively, which we value and do not want tamed; they also, on occasion, run a step ahead of what the sources will carry. When they do, the remedy is to tighten the claim and keep the caveat fastened to it, not to strip the note of the energy that makes it worth reading.</w:t>
      </w:r>
    </w:p>
    <w:p>
      <w:r>
        <w:t>The standard we hold research to here is easy to state. When the evidence is thin, say so, and mark the gap plainly; a note honest about what it could not establish is worth more to us than one that looks finished and conceals a hole. Steven Hunt has that instinct already, from what we have seen of his work, and the task of the first months is to keep it as the requests begin to move faster. Julie Ramsey will read a piece or two of his early work while the conventions are still settling, which is ordinary for anyone new to the research bench and no cause for concern.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Steven Hunt</dc:title>
  <dc:subject/>
  <dc:creator>Julie Ramsey</dc:creator>
  <cp:keywords/>
  <dc:description>generated by python-docx</dc:description>
  <cp:lastModifiedBy>Julie Ramsey</cp:lastModifiedBy>
  <cp:revision>1</cp:revision>
  <dcterms:created xsi:type="dcterms:W3CDTF">2018-03-24T09:00:00Z</dcterms:created>
  <dcterms:modified xsi:type="dcterms:W3CDTF">2018-03-24T09:00:00Z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