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Status Report: Corporate Positioning for Barrera Group</w:t>
      </w:r>
    </w:p>
    <w:tbl>
      <w:tblPr>
        <w:tblStyle w:val="TableGrid"/>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Detail</w:t>
            </w:r>
          </w:p>
        </w:tc>
      </w:tr>
      <w:tr>
        <w:tc>
          <w:tcPr>
            <w:tcW w:type="dxa" w:w="4320"/>
          </w:tcPr>
          <w:p>
            <w:r>
              <w:t>Engagement</w:t>
            </w:r>
          </w:p>
        </w:tc>
        <w:tc>
          <w:tcPr>
            <w:tcW w:type="dxa" w:w="4320"/>
          </w:tcPr>
          <w:p>
            <w:r>
              <w:t>Corporate Positioning</w:t>
            </w:r>
          </w:p>
        </w:tc>
      </w:tr>
      <w:tr>
        <w:tc>
          <w:tcPr>
            <w:tcW w:type="dxa" w:w="4320"/>
          </w:tcPr>
          <w:p>
            <w:r>
              <w:t>Client</w:t>
            </w:r>
          </w:p>
        </w:tc>
        <w:tc>
          <w:tcPr>
            <w:tcW w:type="dxa" w:w="4320"/>
          </w:tcPr>
          <w:p>
            <w:r>
              <w:t>Barrera Group</w:t>
            </w:r>
          </w:p>
        </w:tc>
      </w:tr>
      <w:tr>
        <w:tc>
          <w:tcPr>
            <w:tcW w:type="dxa" w:w="4320"/>
          </w:tcPr>
          <w:p>
            <w:r>
              <w:t>Prepared for</w:t>
            </w:r>
          </w:p>
        </w:tc>
        <w:tc>
          <w:tcPr>
            <w:tcW w:type="dxa" w:w="4320"/>
          </w:tcPr>
          <w:p>
            <w:r>
              <w:t>Barrera Group leadership</w:t>
            </w:r>
          </w:p>
        </w:tc>
      </w:tr>
      <w:tr>
        <w:tc>
          <w:tcPr>
            <w:tcW w:type="dxa" w:w="4320"/>
          </w:tcPr>
          <w:p>
            <w:r>
              <w:t>Prepared by</w:t>
            </w:r>
          </w:p>
        </w:tc>
        <w:tc>
          <w:tcPr>
            <w:tcW w:type="dxa" w:w="4320"/>
          </w:tcPr>
          <w:p>
            <w:r>
              <w:t>Daniel Valenzuela, Advisor, Ashcombe Advisory Partners</w:t>
            </w:r>
          </w:p>
        </w:tc>
      </w:tr>
      <w:tr>
        <w:tc>
          <w:tcPr>
            <w:tcW w:type="dxa" w:w="4320"/>
          </w:tcPr>
          <w:p>
            <w:r>
              <w:t>Stage</w:t>
            </w:r>
          </w:p>
        </w:tc>
        <w:tc>
          <w:tcPr>
            <w:tcW w:type="dxa" w:w="4320"/>
          </w:tcPr>
          <w:p>
            <w:r>
              <w:t>Midpoint of the engagement</w:t>
            </w:r>
          </w:p>
        </w:tc>
      </w:tr>
    </w:tbl>
    <w:p>
      <w:pPr>
        <w:pStyle w:val="Heading2"/>
      </w:pPr>
      <w:r>
        <w:t>Status at the midpoint</w:t>
      </w:r>
    </w:p>
    <w:p>
      <w:r>
        <w:t>We have crossed the halfway mark on the positioning work for Barrera Group, and I am glad to report the engagement is on plan, with a couple of pieces a little ahead of where I expected them. The first half was about getting the story right: hearing how the company is read today, agreeing how it wants to be read, and drafting a core narrative the leadership can stand behind. That narrative is written and now with your team for comment. The second half puts it to work, turning the agreed story into the specific messages and materials your people will use with investors, the press, and staff. What follows sets out what the last period produced, the work ahead, where the budget sits, and the handful of risks I am tracking.</w:t>
      </w:r>
    </w:p>
    <w:p>
      <w:pPr>
        <w:pStyle w:val="Heading2"/>
      </w:pPr>
      <w:r>
        <w:t>What we finished this period</w:t>
      </w:r>
    </w:p>
    <w:p>
      <w:r>
        <w:t>Most of the first half went into evidence and drafting, so that the positioning rests on how Barrera Group is actually seen in the market and not on how we would like it to be. I sat down with your leadership and ran a short round with two analysts who cover the sector, then paired those conversations with a review of your public materials and the last two years of announcements. Out of that came the message architecture: one core story and three supporting pillars, each with the proof points that make it credible rather than aspirational. Michelle Rose has been drafting the language in Barrera Group's own register, so the pillars read like the company speaking and not like an agency writing on its behalf, and the first full draft of the core narrative is the document now in front of you.</w:t>
      </w:r>
    </w:p>
    <w:p>
      <w:pPr>
        <w:pStyle w:val="ListBullet"/>
      </w:pPr>
      <w:r>
        <w:t>A positioning audit of your website, investor materials, and two years of announcements, with the gaps and the mixed messages marked.</w:t>
      </w:r>
    </w:p>
    <w:p>
      <w:pPr>
        <w:pStyle w:val="ListBullet"/>
      </w:pPr>
      <w:r>
        <w:t>Interviews with your leadership and two sell-side analysts, pulled together into the themes that shape how Barrera Group is read today.</w:t>
      </w:r>
    </w:p>
    <w:p>
      <w:pPr>
        <w:pStyle w:val="ListBullet"/>
      </w:pPr>
      <w:r>
        <w:t>A message architecture of one core narrative and three supporting pillars, each backed by concrete proof points.</w:t>
      </w:r>
    </w:p>
    <w:p>
      <w:pPr>
        <w:pStyle w:val="ListBullet"/>
      </w:pPr>
      <w:r>
        <w:t>A first full draft of the core narrative, written in the company's own voice and now with your team for comment.</w:t>
      </w:r>
    </w:p>
    <w:p>
      <w:pPr>
        <w:pStyle w:val="Heading2"/>
      </w:pPr>
      <w:r>
        <w:t>The work ahead</w:t>
      </w:r>
    </w:p>
    <w:p>
      <w:r>
        <w:t>The second half is about turning the approved narrative into the things your team reaches for day to day. Once your comments on the draft are in, we lock the core story and build outward from it: the standard boilerplate, an executive Q&amp;A for the harder questions, briefing notes for the next round of investor conversations, and refreshed language for the website and your templates. Michelle Rose will carry most of that drafting, and I will keep every piece tied back to the pillars, so the materials stay consistent as they multiply. None of this shifts the direction we have set; it fills in the parts that make the positioning usable in the room.</w:t>
      </w:r>
    </w:p>
    <w:p>
      <w:pPr>
        <w:pStyle w:val="ListBullet"/>
      </w:pPr>
      <w:r>
        <w:t>Fold your comments into the core narrative and lock the final version.</w:t>
      </w:r>
    </w:p>
    <w:p>
      <w:pPr>
        <w:pStyle w:val="ListBullet"/>
      </w:pPr>
      <w:r>
        <w:t>Draft the working materials off that narrative: boilerplate, an executive Q&amp;A, and investor briefing notes.</w:t>
      </w:r>
    </w:p>
    <w:p>
      <w:pPr>
        <w:pStyle w:val="ListBullet"/>
      </w:pPr>
      <w:r>
        <w:t>Refresh the website language and the standard templates so every touchpoint carries the same story.</w:t>
      </w:r>
    </w:p>
    <w:p>
      <w:pPr>
        <w:pStyle w:val="ListBullet"/>
      </w:pPr>
      <w:r>
        <w:t>Put together a short rollout plan so the new positioning reaches investors, press, and staff in the right order.</w:t>
      </w:r>
    </w:p>
    <w:p>
      <w:pPr>
        <w:pStyle w:val="Heading2"/>
      </w:pPr>
      <w:r>
        <w:t>The budget</w:t>
      </w:r>
    </w:p>
    <w:p>
      <w:r>
        <w:t>The engagement is tracking within its fixed fee of $59,000, and the first half came in on the effort we scoped. I do not see anything in the work ahead that pushes past it. If a request comes up that sits outside what we agreed, such as materials for an event that was not in the original plan, I will flag it and price it with you before the work starts, not once it is done.</w:t>
      </w:r>
    </w:p>
    <w:p>
      <w:pPr>
        <w:pStyle w:val="Heading2"/>
      </w:pPr>
      <w:r>
        <w:t>Open risks and dependencies</w:t>
      </w:r>
    </w:p>
    <w:p>
      <w:r>
        <w:t>Three things are worth naming now, while each is still easy to manage. None threatens the engagement, and each has an owner and a plan sitting against it.</w:t>
      </w:r>
    </w:p>
    <w:p>
      <w:pPr>
        <w:pStyle w:val="ListBullet"/>
      </w:pPr>
      <w:r>
        <w:t>Sign-off on the narrative. Everything in the second half builds on the core story, so a delay in leadership comment on the draft moves the later work with it. I have asked for your notes by the review we already have on the calendar.</w:t>
      </w:r>
    </w:p>
    <w:p>
      <w:pPr>
        <w:pStyle w:val="ListBullet"/>
      </w:pPr>
      <w:r>
        <w:t>One voice to the market. Several people at Barrera Group speak to investors and the press, and the positioning only holds if they use the same language. The Q&amp;A and the briefing notes are built to close that gap, and I would like a short session to walk your spokespeople through them once they are drafted.</w:t>
      </w:r>
    </w:p>
    <w:p>
      <w:pPr>
        <w:pStyle w:val="ListBullet"/>
      </w:pPr>
      <w:r>
        <w:t>A live announcement in the window. If a result or a transaction lands mid-engagement, we will want to test the new positioning against it before anything goes public. Keeping me in the loop early on anything market-facing gives us the time to do that.</w:t>
      </w:r>
    </w:p>
    <w:p>
      <w:r>
        <w:t>The one thing I need from you next is your team's comments on the core narrative draft. With those in hand, the second half moves quickly. I will send a short note to book the review, and Michelle Rose and I will have the marked-up narrative ready for that conversation.</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Corporate Positioning for Barrera Group</dc:title>
  <dc:subject/>
  <dc:creator>Daniel Valenzuela</dc:creator>
  <cp:keywords/>
  <dc:description>generated by python-docx</dc:description>
  <cp:lastModifiedBy>Daniel Valenzuela</cp:lastModifiedBy>
  <cp:revision>1</cp:revision>
  <dcterms:created xsi:type="dcterms:W3CDTF">2017-04-28T09:00:00Z</dcterms:created>
  <dcterms:modified xsi:type="dcterms:W3CDTF">2017-04-28T09:00:00Z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