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Corporate Positioning for Barrera Group</w:t>
      </w:r>
    </w:p>
    <w:p>
      <w:pPr>
        <w:pStyle w:val="Heading2"/>
      </w:pPr>
      <w:r>
        <w:t>Attendees</w:t>
      </w:r>
    </w:p>
    <w:p>
      <w:pPr>
        <w:pStyle w:val="ListBullet"/>
      </w:pPr>
      <w:r>
        <w:t>Daniel Valenzuela, Advisor</w:t>
      </w:r>
    </w:p>
    <w:p>
      <w:pPr>
        <w:pStyle w:val="ListBullet"/>
      </w:pPr>
      <w:r>
        <w:t>Michelle Rose, Communications Associate</w:t>
      </w:r>
    </w:p>
    <w:p>
      <w:pPr>
        <w:pStyle w:val="ListBullet"/>
      </w:pPr>
      <w:r>
        <w:t>Mary Frank, Director of Operations, Barrera Group</w:t>
      </w:r>
    </w:p>
    <w:p>
      <w:pPr>
        <w:pStyle w:val="Heading2"/>
      </w:pPr>
      <w:r>
        <w:t>Discussion</w:t>
      </w:r>
    </w:p>
    <w:p>
      <w:r>
        <w:t>The group met to review the positioning work at the midpoint of the engagement. Daniel Valenzuela walked through the core positioning statement, now settled, and the messaging map beneath it. Mary Frank confirmed the disciplined-growth framing matches how leadership at Barrera Group wants the company described. The board's response to the earlier draft was positive.</w:t>
      </w:r>
    </w:p>
    <w:p>
      <w:r>
        <w:t>Michelle Rose took the map claim by claim. Most proof points are confirmed against a source the company can produce on request. Two customer-outcome claims still lean on anecdote rather than a number, and the group agreed to soften both until the data is in hand. One figure on the operations side had been open; Mary Frank supplied it during the session, which closed the last gap in the growth-and-margin claim. The group agreed the map is complete for this phase. Attention now shifts to sequencing: aligning the executive narrative and ordering the announcement calendar behind the new frame.</w:t>
      </w:r>
    </w:p>
    <w:p>
      <w:r>
        <w:t>On the executive narrative, the group reviewed how leadership would carry the statement in remarks and interviews. Daniel Valenzuela noted that the language works only if it is used the same way at every level, and proposed a short internal rollout note before anything external moves. Michelle Rose agreed to draft it. Mary Frank asked that the note be plain enough for staff to pick up without a briefing.</w:t>
      </w:r>
    </w:p>
    <w:p>
      <w:r>
        <w:t>Daniel Valenzuela flagged one risk. With the statement settled, there is a pull to start using the new language externally before leadership has absorbed it. The group agreed no external message goes out until leadership signs off on the internal wording. Mary Frank asked that internal and external language stay in step as her team begins using the new terms day to day.</w:t>
      </w:r>
    </w:p>
    <w:p>
      <w:r>
        <w:t>On the announcement calendar, the group sketched the order of the coming releases so each one builds on the last rather than competing with it. No dates were fixed; Daniel Valenzuela will bring a first cut of the sequence to the next session for the group to react to. Mary Frank noted two fixed points on the company's side that the calendar has to work around, and will send those so the draft sequence accounts for them.</w:t>
      </w:r>
    </w:p>
    <w:p>
      <w:r>
        <w:t>On cadence, the group will keep the weekly status thread running and reconvene once the rollout note is reviewed. Mary Frank asked that interim decisions be confirmed in writing so the operations team is never guessing at the current version. Michelle Rose will hold the master copy of the map and date each change.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Target</w:t>
            </w:r>
          </w:p>
        </w:tc>
      </w:tr>
      <w:tr>
        <w:tc>
          <w:tcPr>
            <w:tcW w:type="dxa" w:w="2880"/>
          </w:tcPr>
          <w:p>
            <w:r>
              <w:t>Circulate the clean messaging map to the working group</w:t>
            </w:r>
          </w:p>
        </w:tc>
        <w:tc>
          <w:tcPr>
            <w:tcW w:type="dxa" w:w="2880"/>
          </w:tcPr>
          <w:p>
            <w:r>
              <w:t>Michelle Rose</w:t>
            </w:r>
          </w:p>
        </w:tc>
        <w:tc>
          <w:tcPr>
            <w:tcW w:type="dxa" w:w="2880"/>
          </w:tcPr>
          <w:p>
            <w:r>
              <w:t>This week</w:t>
            </w:r>
          </w:p>
        </w:tc>
      </w:tr>
      <w:tr>
        <w:tc>
          <w:tcPr>
            <w:tcW w:type="dxa" w:w="2880"/>
          </w:tcPr>
          <w:p>
            <w:r>
              <w:t>Draft the internal rollout note for leadership review</w:t>
            </w:r>
          </w:p>
        </w:tc>
        <w:tc>
          <w:tcPr>
            <w:tcW w:type="dxa" w:w="2880"/>
          </w:tcPr>
          <w:p>
            <w:r>
              <w:t>Michelle Rose</w:t>
            </w:r>
          </w:p>
        </w:tc>
        <w:tc>
          <w:tcPr>
            <w:tcW w:type="dxa" w:w="2880"/>
          </w:tcPr>
          <w:p>
            <w:r>
              <w:t>Next week</w:t>
            </w:r>
          </w:p>
        </w:tc>
      </w:tr>
      <w:tr>
        <w:tc>
          <w:tcPr>
            <w:tcW w:type="dxa" w:w="2880"/>
          </w:tcPr>
          <w:p>
            <w:r>
              <w:t>Confirm leadership sign-off on the internal language</w:t>
            </w:r>
          </w:p>
        </w:tc>
        <w:tc>
          <w:tcPr>
            <w:tcW w:type="dxa" w:w="2880"/>
          </w:tcPr>
          <w:p>
            <w:r>
              <w:t>Mary Frank</w:t>
            </w:r>
          </w:p>
        </w:tc>
        <w:tc>
          <w:tcPr>
            <w:tcW w:type="dxa" w:w="2880"/>
          </w:tcPr>
          <w:p>
            <w:r>
              <w:t>Before external work begins</w:t>
            </w:r>
          </w:p>
        </w:tc>
      </w:tr>
      <w:tr>
        <w:tc>
          <w:tcPr>
            <w:tcW w:type="dxa" w:w="2880"/>
          </w:tcPr>
          <w:p>
            <w:r>
              <w:t>Sequence the announcement calendar against the new frame</w:t>
            </w:r>
          </w:p>
        </w:tc>
        <w:tc>
          <w:tcPr>
            <w:tcW w:type="dxa" w:w="2880"/>
          </w:tcPr>
          <w:p>
            <w:r>
              <w:t>Daniel Valenzuela</w:t>
            </w:r>
          </w:p>
        </w:tc>
        <w:tc>
          <w:tcPr>
            <w:tcW w:type="dxa" w:w="2880"/>
          </w:tcPr>
          <w:p>
            <w:r>
              <w:t>Next session</w:t>
            </w:r>
          </w:p>
        </w:tc>
      </w:tr>
      <w:tr>
        <w:tc>
          <w:tcPr>
            <w:tcW w:type="dxa" w:w="2880"/>
          </w:tcPr>
          <w:p>
            <w:r>
              <w:t>Reconfirm remaining proof points with the operations team</w:t>
            </w:r>
          </w:p>
        </w:tc>
        <w:tc>
          <w:tcPr>
            <w:tcW w:type="dxa" w:w="2880"/>
          </w:tcPr>
          <w:p>
            <w:r>
              <w:t>Mary Frank</w:t>
            </w:r>
          </w:p>
        </w:tc>
        <w:tc>
          <w:tcPr>
            <w:tcW w:type="dxa" w:w="2880"/>
          </w:tcPr>
          <w:p>
            <w:r>
              <w:t>Ongoing</w:t>
            </w:r>
          </w:p>
        </w:tc>
      </w:tr>
    </w:tbl>
    <w:p>
      <w:r>
        <w:t>Minutes prepared by Michelle Rose. The next working session will be scheduled once the rollout note has been reviewed.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Corporate Positioning for Barrera Group</dc:title>
  <dc:subject/>
  <dc:creator>Michelle Rose</dc:creator>
  <cp:keywords/>
  <dc:description>generated by python-docx</dc:description>
  <cp:lastModifiedBy>Michelle Rose</cp:lastModifiedBy>
  <cp:revision>1</cp:revision>
  <dcterms:created xsi:type="dcterms:W3CDTF">2017-04-14T09:00:00Z</dcterms:created>
  <dcterms:modified xsi:type="dcterms:W3CDTF">2017-04-14T09:00:00Z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