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Kickoff Memo: Investor Relations Program for Castaneda, Adams and Davis</w:t>
      </w:r>
    </w:p>
    <w:p>
      <w:r>
        <w:t>To: Laura Bradley, Michelle Black</w:t>
      </w:r>
    </w:p>
    <w:p>
      <w:r>
        <w:t>From: Michael Morris</w:t>
      </w:r>
    </w:p>
    <w:p>
      <w:r>
        <w:t>Re: Getting the engagement moving before the first drafts do</w:t>
      </w:r>
    </w:p>
    <w:p>
      <w:r>
        <w:t>This is the investor relations program for Castaneda, Adams and Davis, and I want the three of us aligned on what we are trying to accomplish before any drafts start moving, because the work will go a good deal faster if we are building toward the same picture from the first week rather than reconciling three different pictures in the third. The company wants to be read clearly and consistently by the people who follow it, and our job over the next several months is to give them the messages, the materials, and the routine that make that happen without a scramble every time something has to go out.</w:t>
      </w:r>
    </w:p>
    <w:p>
      <w:r>
        <w:t>We begin on July 7, 2018. An hour spent agreeing the shape of the work will spare us a tangle of mismatched drafts once things are moving, each built on a slightly different assumption about where this is headed, so I have set out below the lines of work as I see them and the first moves I am asking each of us to make.</w:t>
      </w:r>
    </w:p>
    <w:p>
      <w:pPr>
        <w:pStyle w:val="Heading2"/>
      </w:pPr>
      <w:r>
        <w:t>The lines of work</w:t>
      </w:r>
    </w:p>
    <w:p>
      <w:pPr>
        <w:pStyle w:val="ListBullet"/>
      </w:pPr>
      <w:r>
        <w:t>1. Message architecture. We pull together how the company is understood today, agree with the client how it wants to be understood, and write the core narrative and the handful of supporting messages that everything else will hang off.</w:t>
      </w:r>
    </w:p>
    <w:p>
      <w:pPr>
        <w:pStyle w:val="ListBullet"/>
      </w:pPr>
      <w:r>
        <w:t>2. Announcement support. We build the drafting and approval routine for the releases and investor materials the company will put out over the engagement, so that nothing reaches the market without the right people having read it in the right order.</w:t>
      </w:r>
    </w:p>
    <w:p>
      <w:pPr>
        <w:pStyle w:val="ListBullet"/>
      </w:pPr>
      <w:r>
        <w:t>3. Calendar and readiness. We map the company's known events for the period, mark the moments that will need messaging well ahead of time, and make sure we are never caught drafting something important against the clock.</w:t>
      </w:r>
    </w:p>
    <w:p>
      <w:pPr>
        <w:pStyle w:val="ListBullet"/>
      </w:pPr>
      <w:r>
        <w:t>4. Relationships and access. We fix the short list of people we will need time with on the client side, starting with Lauren Heath, so that reviews and sign-offs do not stall for want of the right person in the room.</w:t>
      </w:r>
    </w:p>
    <w:p>
      <w:r>
        <w:t>These four lines do not run in parallel so much as feed one another, and the order matters: the message architecture comes first because almost everything downstream is built on it, the announcement routine and the calendar can stand up alongside it, and the access we need from the client is what keeps any of it from stalling. If we get the first line right and early, the rest of the engagement is mostly a matter of execution rather than argument.</w:t>
      </w:r>
    </w:p>
    <w:p>
      <w:pPr>
        <w:pStyle w:val="Heading2"/>
      </w:pPr>
      <w:r>
        <w:t>The first two weeks</w:t>
      </w:r>
    </w:p>
    <w:p>
      <w:r>
        <w:t>Here is what I need from each of us to start, and I have kept the list deliberately short so that we can actually clear it rather than admire it:</w:t>
      </w:r>
    </w:p>
    <w:p>
      <w:pPr>
        <w:pStyle w:val="ListBullet"/>
      </w:pPr>
      <w:r>
        <w:t>1. Laura Bradley stands up the working file and a draft schedule for the message work and circulates a first cut by the end of next week.</w:t>
      </w:r>
    </w:p>
    <w:p>
      <w:pPr>
        <w:pStyle w:val="ListBullet"/>
      </w:pPr>
      <w:r>
        <w:t>2. Michelle Black builds the approvals tracker and confirms with the client's office who signs off on what, so we are not guessing when the first material is ready.</w:t>
      </w:r>
    </w:p>
    <w:p>
      <w:pPr>
        <w:pStyle w:val="ListBullet"/>
      </w:pPr>
      <w:r>
        <w:t>3. I run the opening call with Lauren Heath and bring back the company's own read on which audience matters most right now, which is the one input that shapes everything in the first line of work.</w:t>
      </w:r>
    </w:p>
    <w:p>
      <w:r>
        <w:t>Send me anything I have missed by Friday. If I do not hear otherwise, we work to this, and we adjust it in the open as the engagement teaches us where it was wrong.</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Investor Relations Program for Castaneda, Adams and Davis</dc:title>
  <dc:subject/>
  <dc:creator>Michael Morris</dc:creator>
  <cp:keywords/>
  <dc:description>generated by python-docx</dc:description>
  <cp:lastModifiedBy>Michael Morris</cp:lastModifiedBy>
  <cp:revision>1</cp:revision>
  <dcterms:created xsi:type="dcterms:W3CDTF">2018-07-10T09:00:00Z</dcterms:created>
  <dcterms:modified xsi:type="dcterms:W3CDTF">2018-07-10T09:00:00Z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