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Investor Relations Program for Castaneda, Adams and Davis</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w:t>
            </w:r>
          </w:p>
        </w:tc>
      </w:tr>
      <w:tr>
        <w:tc>
          <w:tcPr>
            <w:tcW w:type="dxa" w:w="4320"/>
          </w:tcPr>
          <w:p>
            <w:r>
              <w:t>Engagement</w:t>
            </w:r>
          </w:p>
        </w:tc>
        <w:tc>
          <w:tcPr>
            <w:tcW w:type="dxa" w:w="4320"/>
          </w:tcPr>
          <w:p>
            <w:r>
              <w:t>Investor Relations Program</w:t>
            </w:r>
          </w:p>
        </w:tc>
      </w:tr>
      <w:tr>
        <w:tc>
          <w:tcPr>
            <w:tcW w:type="dxa" w:w="4320"/>
          </w:tcPr>
          <w:p>
            <w:r>
              <w:t>Client</w:t>
            </w:r>
          </w:p>
        </w:tc>
        <w:tc>
          <w:tcPr>
            <w:tcW w:type="dxa" w:w="4320"/>
          </w:tcPr>
          <w:p>
            <w:r>
              <w:t>Castaneda, Adams and Davis</w:t>
            </w:r>
          </w:p>
        </w:tc>
      </w:tr>
      <w:tr>
        <w:tc>
          <w:tcPr>
            <w:tcW w:type="dxa" w:w="4320"/>
          </w:tcPr>
          <w:p>
            <w:r>
              <w:t>Prepared by</w:t>
            </w:r>
          </w:p>
        </w:tc>
        <w:tc>
          <w:tcPr>
            <w:tcW w:type="dxa" w:w="4320"/>
          </w:tcPr>
          <w:p>
            <w:r>
              <w:t>Michael Morris, Partner, Ashcombe Advisory Partners</w:t>
            </w:r>
          </w:p>
        </w:tc>
      </w:tr>
      <w:tr>
        <w:tc>
          <w:tcPr>
            <w:tcW w:type="dxa" w:w="4320"/>
          </w:tcPr>
          <w:p>
            <w:r>
              <w:t>Stage</w:t>
            </w:r>
          </w:p>
        </w:tc>
        <w:tc>
          <w:tcPr>
            <w:tcW w:type="dxa" w:w="4320"/>
          </w:tcPr>
          <w:p>
            <w:r>
              <w:t>Midpoint of the engagement</w:t>
            </w:r>
          </w:p>
        </w:tc>
      </w:tr>
    </w:tbl>
    <w:p>
      <w:pPr>
        <w:pStyle w:val="Heading2"/>
      </w:pPr>
      <w:r>
        <w:t>Where the program stands</w:t>
      </w:r>
    </w:p>
    <w:p>
      <w:r>
        <w:t>We have reached the midpoint of the investor relations program for Castaneda, Adams and Davis, and I am glad to report that the work is on plan and the budget is tracking with it. The first half was about getting the story right before we spent effort on the materials that carry it, on the reasoning that a message architecture is only as sound as the reading of the market it rests on, and a shaky reading grows expensive to correct once everything else has been built on top of it. That reading is done, the core narrative is written, and it is with your team for comment, which is exactly where I hoped we would be at this point in the calendar. What follows sets out what the last period produced, the work ahead, where the fee sits against the plan, and the handful of risks I am tracking.</w:t>
      </w:r>
    </w:p>
    <w:p>
      <w:pPr>
        <w:pStyle w:val="Heading2"/>
      </w:pPr>
      <w:r>
        <w:t>What we completed this period</w:t>
      </w:r>
    </w:p>
    <w:p>
      <w:r>
        <w:t>Most of the first half went into evidence and drafting, so that the positioning rests on how the company is actually read and not on how we would prefer it to be read. The work broke down into four pieces, and all four are in hand:</w:t>
      </w:r>
    </w:p>
    <w:p>
      <w:pPr>
        <w:pStyle w:val="ListBullet"/>
      </w:pPr>
      <w:r>
        <w:t>1. A positioning review of the company's public materials and the last two years of its announcements, with the gaps and the mixed signals marked.</w:t>
      </w:r>
    </w:p>
    <w:p>
      <w:pPr>
        <w:pStyle w:val="ListBullet"/>
      </w:pPr>
      <w:r>
        <w:t>2. Listening sessions with your leadership and with analysts who cover the sector, pulled together into the themes that shape how the company is understood today.</w:t>
      </w:r>
    </w:p>
    <w:p>
      <w:pPr>
        <w:pStyle w:val="ListBullet"/>
      </w:pPr>
      <w:r>
        <w:t>3. A message architecture of one core narrative and three supporting messages, each carried by concrete proof points rather than adjectives, which Laura Bradley drafted in the company's own register.</w:t>
      </w:r>
    </w:p>
    <w:p>
      <w:pPr>
        <w:pStyle w:val="ListBullet"/>
      </w:pPr>
      <w:r>
        <w:t>4. An approvals routine, stood up by Michelle Black, that tracks who owes a sign-off and when a window closes, so no material reaches the market out of order.</w:t>
      </w:r>
    </w:p>
    <w:p>
      <w:pPr>
        <w:pStyle w:val="Heading2"/>
      </w:pPr>
      <w:r>
        <w:t>The work ahead</w:t>
      </w:r>
    </w:p>
    <w:p>
      <w:r>
        <w:t>The second half turns the agreed narrative into the things your people reach for day to day, and it does so one piece at a time so that quality does not slip as the materials multiply. Once your comments on the draft are in, we lock the core story and build outward from it:</w:t>
      </w:r>
    </w:p>
    <w:p>
      <w:pPr>
        <w:pStyle w:val="ListBullet"/>
      </w:pPr>
      <w:r>
        <w:t>1. Draft the working materials off the locked narrative: the standard boilerplate, an executive Q&amp;A for the harder questions, and briefing notes for the next round of investor conversations.</w:t>
      </w:r>
    </w:p>
    <w:p>
      <w:pPr>
        <w:pStyle w:val="ListBullet"/>
      </w:pPr>
      <w:r>
        <w:t>2. Refresh the language on the website and in your templates so that every place the company speaks carries the same story.</w:t>
      </w:r>
    </w:p>
    <w:p>
      <w:pPr>
        <w:pStyle w:val="ListBullet"/>
      </w:pPr>
      <w:r>
        <w:t>3. Run a short session with your spokespeople so that the people who actually talk to investors and the press are using the agreed language and not their own.</w:t>
      </w:r>
    </w:p>
    <w:p>
      <w:pPr>
        <w:pStyle w:val="Heading2"/>
      </w:pPr>
      <w:r>
        <w:t>The budget</w:t>
      </w:r>
    </w:p>
    <w:p>
      <w:r>
        <w:t>The engagement is tracking within its fixed fee of $47,000, and the first half came in on the effort we scoped, so I do not see anything in the work ahead that pushes past it. If a request comes up that sits outside what we agreed, such as materials for an event that was not in the original plan, I will flag it and price it with you before the work starts and not once it is done.</w:t>
      </w:r>
    </w:p>
    <w:p>
      <w:pPr>
        <w:pStyle w:val="Heading2"/>
      </w:pPr>
      <w:r>
        <w:t>Risks I am tracking</w:t>
      </w:r>
    </w:p>
    <w:p>
      <w:r>
        <w:t>Three things are worth naming now, while each is still small enough to manage, and none of them threatens the engagement:</w:t>
      </w:r>
    </w:p>
    <w:p>
      <w:pPr>
        <w:pStyle w:val="ListBullet"/>
      </w:pPr>
      <w:r>
        <w:t>1. Sign-off on the narrative. Everything in the second half builds on the core story, so a delay in your team's comments moves the later work with it; I have asked for those notes by the review already on the calendar.</w:t>
      </w:r>
    </w:p>
    <w:p>
      <w:pPr>
        <w:pStyle w:val="ListBullet"/>
      </w:pPr>
      <w:r>
        <w:t>2. One voice to the market. Several people at the company speak to investors and the press, and the positioning only holds if they use the same language, which is what the Q&amp;A and the spokesperson session are built to secure.</w:t>
      </w:r>
    </w:p>
    <w:p>
      <w:pPr>
        <w:pStyle w:val="ListBullet"/>
      </w:pPr>
      <w:r>
        <w:t>3. A live announcement in the window. If a result or a transaction lands mid-engagement, we will want to test the new messaging against it before anything goes public, so keeping me in the loop early on anything market-facing gives us the room to do that.</w:t>
      </w:r>
    </w:p>
    <w:p>
      <w:r>
        <w:t>The one thing I need from you next is your team's comments on the core narrative draft. With those in hand the second half moves quickly, and Laura Bradley and I will have the marked-up narrative ready for the review we already have on the calendar.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Investor Relations Program for Castaneda, Adams and Davis</dc:title>
  <dc:subject/>
  <dc:creator>Michael Morris</dc:creator>
  <cp:keywords/>
  <dc:description>generated by python-docx</dc:description>
  <cp:lastModifiedBy>Michael Morris</cp:lastModifiedBy>
  <cp:revision>1</cp:revision>
  <dcterms:created xsi:type="dcterms:W3CDTF">2018-11-15T09:00:00Z</dcterms:created>
  <dcterms:modified xsi:type="dcterms:W3CDTF">2018-11-15T09:00:00Z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