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Investor Relations Program for Castaneda, Adams and Davis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Engagement</w:t>
            </w:r>
          </w:p>
        </w:tc>
        <w:tc>
          <w:tcPr>
            <w:tcW w:type="dxa" w:w="4320"/>
          </w:tcPr>
          <w:p>
            <w:r>
              <w:t>Investor Relations Program</w:t>
            </w:r>
          </w:p>
        </w:tc>
      </w:tr>
      <w:tr>
        <w:tc>
          <w:tcPr>
            <w:tcW w:type="dxa" w:w="4320"/>
          </w:tcPr>
          <w:p>
            <w:r>
              <w:t>Client</w:t>
            </w:r>
          </w:p>
        </w:tc>
        <w:tc>
          <w:tcPr>
            <w:tcW w:type="dxa" w:w="4320"/>
          </w:tcPr>
          <w:p>
            <w:r>
              <w:t>Castaneda, Adams and Davis</w:t>
            </w:r>
          </w:p>
        </w:tc>
      </w:tr>
      <w:tr>
        <w:tc>
          <w:tcPr>
            <w:tcW w:type="dxa" w:w="4320"/>
          </w:tcPr>
          <w:p>
            <w:r>
              <w:t>Prepared for</w:t>
            </w:r>
          </w:p>
        </w:tc>
        <w:tc>
          <w:tcPr>
            <w:tcW w:type="dxa" w:w="4320"/>
          </w:tcPr>
          <w:p>
            <w:r>
              <w:t>Leadership, Castaneda, Adams and Davis</w:t>
            </w:r>
          </w:p>
        </w:tc>
      </w:tr>
      <w:tr>
        <w:tc>
          <w:tcPr>
            <w:tcW w:type="dxa" w:w="4320"/>
          </w:tcPr>
          <w:p>
            <w:r>
              <w:t>Prepared by</w:t>
            </w:r>
          </w:p>
        </w:tc>
        <w:tc>
          <w:tcPr>
            <w:tcW w:type="dxa" w:w="4320"/>
          </w:tcPr>
          <w:p>
            <w:r>
              <w:t>Michael Morris, Partner, Ashcombe Advisory Partners</w:t>
            </w:r>
          </w:p>
        </w:tc>
      </w:tr>
      <w:tr>
        <w:tc>
          <w:tcPr>
            <w:tcW w:type="dxa" w:w="4320"/>
          </w:tcPr>
          <w:p>
            <w:r>
              <w:t>Stage</w:t>
            </w:r>
          </w:p>
        </w:tc>
        <w:tc>
          <w:tcPr>
            <w:tcW w:type="dxa" w:w="4320"/>
          </w:tcPr>
          <w:p>
            <w:r>
              <w:t>Approaching completion</w:t>
            </w:r>
          </w:p>
        </w:tc>
      </w:tr>
    </w:tbl>
    <w:p>
      <w:pPr>
        <w:pStyle w:val="Heading2"/>
      </w:pPr>
      <w:r>
        <w:t>Where the program stands</w:t>
      </w:r>
    </w:p>
    <w:p>
      <w:r>
        <w:t>The investor relations program for Castaneda, Adams and Davis is now in its final stretch, and I am writing to set out where each part of the work has landed, what remains before we close, how the budget has held, and the few things I want us both watching as the engagement winds down. The program has done what we set out to do, in that the investor messaging is written, tested against real questions, and now carried consistently by the people who speak for the company, while the last announcement cycle went out on schedule and drew nothing we had not already prepared an answer for. What is left is not new work but the orderly handover of everything we have built, so that your team can run the cadence without us once the firm steps back.</w:t>
      </w:r>
    </w:p>
    <w:p>
      <w:pPr>
        <w:pStyle w:val="Heading2"/>
      </w:pPr>
      <w:r>
        <w:t>What we completed this period</w:t>
      </w:r>
    </w:p>
    <w:p>
      <w:r>
        <w:t>Since the last report the effort has been about finishing and proving rather than drafting, and four items are worth calling out because each one closes a piece of the program that had been open.</w:t>
      </w:r>
    </w:p>
    <w:p>
      <w:pPr>
        <w:pStyle w:val="ListBullet"/>
      </w:pPr>
      <w:r>
        <w:t>1. Laura Bradley completed the final revision of the investor Q&amp;A, folding in every question that came up on the last round of calls, so that the answers now track the language of the published update exactly and no one speaking for the company has to improvise.</w:t>
      </w:r>
    </w:p>
    <w:p>
      <w:pPr>
        <w:pStyle w:val="ListBullet"/>
      </w:pPr>
      <w:r>
        <w:t>2. We ran the last announcement of the program through the full approval routing on time, with Michelle Black tracking each sign-off and clearing the two that were slow to come back before either could put the window at risk.</w:t>
      </w:r>
    </w:p>
    <w:p>
      <w:pPr>
        <w:pStyle w:val="ListBullet"/>
      </w:pPr>
      <w:r>
        <w:t>3. We closed the loop on message consistency by getting your spokespeople onto a single set of lines, which held all the way through the announcement without a stray phrase reaching the market.</w:t>
      </w:r>
    </w:p>
    <w:p>
      <w:pPr>
        <w:pStyle w:val="ListBullet"/>
      </w:pPr>
      <w:r>
        <w:t>4. Sandra Mcdonald assembled the working file of everything the program has produced, checked that each document is the signed and current version, and staged it for transmittal, so that nothing will be missing or out of date when we hand it across.</w:t>
      </w:r>
    </w:p>
    <w:p>
      <w:pPr>
        <w:pStyle w:val="Heading2"/>
      </w:pPr>
      <w:r>
        <w:t>The work still ahead</w:t>
      </w:r>
    </w:p>
    <w:p>
      <w:r>
        <w:t>With the substantive work done, the effort that remains is the handover itself, and I have kept it deliberately short so that we finish cleanly rather than letting the engagement trail off into odd requests.</w:t>
      </w:r>
    </w:p>
    <w:p>
      <w:pPr>
        <w:pStyle w:val="ListBullet"/>
      </w:pPr>
      <w:r>
        <w:t>1. Sandra Mcdonald will transmit the complete document set to your team, and I have asked her to include a short index, so that your people can find the messaging, the Q&amp;A, and the announcement materials without having to come back to us for a copy.</w:t>
      </w:r>
    </w:p>
    <w:p>
      <w:pPr>
        <w:pStyle w:val="ListBullet"/>
      </w:pPr>
      <w:r>
        <w:t>2. Laura Bradley will write a brief handover note that explains how to keep the Q&amp;A current and how to walk a draft through approval, so that the routine we have built does not depend on our being in the room to run it.</w:t>
      </w:r>
    </w:p>
    <w:p>
      <w:pPr>
        <w:pStyle w:val="ListBullet"/>
      </w:pPr>
      <w:r>
        <w:t>3. I will hold one closing call with your leadership to talk through the handover, answer whatever comes up, and agree the point at which the firm formally steps back from the account.</w:t>
      </w:r>
    </w:p>
    <w:p>
      <w:pPr>
        <w:pStyle w:val="Heading2"/>
      </w:pPr>
      <w:r>
        <w:t>Budget</w:t>
      </w:r>
    </w:p>
    <w:p>
      <w:r>
        <w:t>The program has run within its fixed fee of $47,000, and I do not expect the handover to change that, because the tasks that remain are ones we scoped from the start, though if anything outside the original plan comes up in the closing weeks, such as materials for an event we did not anticipate, I will price it with you before any work begins rather than after it is done, so that there is no surprise on the final invoice.</w:t>
      </w:r>
    </w:p>
    <w:p>
      <w:pPr>
        <w:pStyle w:val="Heading2"/>
      </w:pPr>
      <w:r>
        <w:t>Risks I am watching</w:t>
      </w:r>
    </w:p>
    <w:p>
      <w:r>
        <w:t>Two risks are worth naming now, not because either threatens the close, but because both are easier to settle while we are still engaged than they will be once we have stepped back.</w:t>
      </w:r>
    </w:p>
    <w:p>
      <w:pPr>
        <w:pStyle w:val="ListBullet"/>
      </w:pPr>
      <w:r>
        <w:t>1. The first is continuity, in that everything we have built holds only as long as someone at Castaneda, Adams and Davis keeps the Q&amp;A current and holds the line on message discipline, and while the handover note is meant to make that person's job straightforward, the role will need an owner named on your side before we close.</w:t>
      </w:r>
    </w:p>
    <w:p>
      <w:pPr>
        <w:pStyle w:val="ListBullet"/>
      </w:pPr>
      <w:r>
        <w:t>2. The second is the quiet stretch between announcements, where the natural pull with the program winding down is to let the messaging drift, and the surest guard against that is a single point of contact who keeps the language consistent, which is the one piece I would ask you to settle before our closing call.</w:t>
      </w:r>
    </w:p>
    <w:p>
      <w:r>
        <w:t>Because the handover is the last real decision left in front of us, I would ask that you name the person on your side who will own the investor messaging once the firm steps back, so that the closing call can be a handshake rather than a list of open items. With that settled, Sandra Mcdonald can transmit the file, Laura Bradley can pitch the handover note at the right reader, and we can close the program the way we ran it, in order and on time. Michael Morris, Partner, Ashcombe Advisory Partners.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Investor Relations Program for Castaneda, Adams and Davis</dc:title>
  <dc:subject/>
  <dc:creator>Michael Morris</dc:creator>
  <cp:keywords/>
  <dc:description>generated by python-docx</dc:description>
  <cp:lastModifiedBy>Michael Morris</cp:lastModifiedBy>
  <cp:revision>1</cp:revision>
  <dcterms:created xsi:type="dcterms:W3CDTF">2019-03-15T09:00:00Z</dcterms:created>
  <dcterms:modified xsi:type="dcterms:W3CDTF">2019-03-15T09:00:00Z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