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Investor Relations Program for Castaneda, Adams and Davis</w:t>
      </w:r>
    </w:p>
    <w:p>
      <w:r>
        <w:t>These are the notes from our working session on the Castaneda, Adams and Davis program. We met to take stock at the midpoint and to line up the second half of the work.</w:t>
      </w:r>
    </w:p>
    <w:p>
      <w:pPr>
        <w:pStyle w:val="Heading2"/>
      </w:pPr>
      <w:r>
        <w:t>Present</w:t>
      </w:r>
    </w:p>
    <w:p>
      <w:pPr>
        <w:pStyle w:val="ListBullet"/>
      </w:pPr>
      <w:r>
        <w:t>Michael Morris, Partner, Ashcombe Advisory Partners</w:t>
      </w:r>
    </w:p>
    <w:p>
      <w:pPr>
        <w:pStyle w:val="ListBullet"/>
      </w:pPr>
      <w:r>
        <w:t>Laura Bradley, Senior Associate, Ashcombe Advisory Partners</w:t>
      </w:r>
    </w:p>
    <w:p>
      <w:pPr>
        <w:pStyle w:val="ListBullet"/>
      </w:pPr>
      <w:r>
        <w:t>Michelle Black, Communications Analyst, Ashcombe Advisory Partners</w:t>
      </w:r>
    </w:p>
    <w:p>
      <w:pPr>
        <w:pStyle w:val="ListBullet"/>
      </w:pPr>
      <w:r>
        <w:t>Lauren Heath, Chief Operating Officer, Castaneda, Adams and Davis</w:t>
      </w:r>
    </w:p>
    <w:p>
      <w:pPr>
        <w:pStyle w:val="Heading2"/>
      </w:pPr>
      <w:r>
        <w:t>What we covered</w:t>
      </w:r>
    </w:p>
    <w:p>
      <w:r>
        <w:t>Michael Morris opened with a look back at the first half. The core narrative is written. It is with the client for comment now. We agreed the story is holding up well, and that the three pillars underneath it are carrying their weight.</w:t>
      </w:r>
    </w:p>
    <w:p>
      <w:r>
        <w:t>We went through the pillars one at a time. Each is meant to stand on a proof point, not on an adjective. Two of them are strong. The third leans a little hard on language and not enough on evidence. Laura Bradley took the note to find a firmer fact to sit it on.</w:t>
      </w:r>
    </w:p>
    <w:p>
      <w:r>
        <w:t>Lauren Heath gave us her read from the client side. Leadership likes the direction. A few lines still need softening for an investor audience, and one claim reads stronger than the company is ready to stand behind in public. She will send those notes back to us marked on the draft, so nothing gets lost in translation.</w:t>
      </w:r>
    </w:p>
    <w:p>
      <w:r>
        <w:t>Then we turned to the second half. The plan is to build the working materials off the agreed narrative, one at a time, rather than all at once. Mike asked Laura Bradley to take the first pass at the investor Q&amp;A, since that is where the softening will matter most. I will keep the approvals tracker current, so we always know who owes a sign-off and when a window closes.</w:t>
      </w:r>
    </w:p>
    <w:p>
      <w:r>
        <w:t>We talked about the website and the templates as well. Those come later in the plan. But we want the language there to match the narrative once it is locked, so we noted it now and left it parked. Nobody starts on it until the core story is settled.</w:t>
      </w:r>
    </w:p>
    <w:p>
      <w:r>
        <w:t>We spent a little time on the announcement calendar. There is nothing urgent in the near term. We agreed to keep testing each new message against the calendar as we go, so a live announcement never catches us with the wrong words ready. Michael Morris reminded us to keep the client close on anything market-facing, and to hear about it early rather than late.</w:t>
      </w:r>
    </w:p>
    <w:p>
      <w:pPr>
        <w:pStyle w:val="Heading2"/>
      </w:pPr>
      <w:r>
        <w:t>What we agreed to do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By when</w:t>
            </w:r>
          </w:p>
        </w:tc>
      </w:tr>
      <w:tr>
        <w:tc>
          <w:tcPr>
            <w:tcW w:type="dxa" w:w="2880"/>
          </w:tcPr>
          <w:p>
            <w:r>
              <w:t>Return the marked-up narrative with the investor-audience notes</w:t>
            </w:r>
          </w:p>
        </w:tc>
        <w:tc>
          <w:tcPr>
            <w:tcW w:type="dxa" w:w="2880"/>
          </w:tcPr>
          <w:p>
            <w:r>
              <w:t>Lauren Heath</w:t>
            </w:r>
          </w:p>
        </w:tc>
        <w:tc>
          <w:tcPr>
            <w:tcW w:type="dxa" w:w="2880"/>
          </w:tcPr>
          <w:p>
            <w:r>
              <w:t>Before the next review</w:t>
            </w:r>
          </w:p>
        </w:tc>
      </w:tr>
      <w:tr>
        <w:tc>
          <w:tcPr>
            <w:tcW w:type="dxa" w:w="2880"/>
          </w:tcPr>
          <w:p>
            <w:r>
              <w:t>First draft of the investor Q&amp;A off the agreed narrative</w:t>
            </w:r>
          </w:p>
        </w:tc>
        <w:tc>
          <w:tcPr>
            <w:tcW w:type="dxa" w:w="2880"/>
          </w:tcPr>
          <w:p>
            <w:r>
              <w:t>Laura Bradley</w:t>
            </w:r>
          </w:p>
        </w:tc>
        <w:tc>
          <w:tcPr>
            <w:tcW w:type="dxa" w:w="2880"/>
          </w:tcPr>
          <w:p>
            <w:r>
              <w:t>Ahead of the client call</w:t>
            </w:r>
          </w:p>
        </w:tc>
      </w:tr>
      <w:tr>
        <w:tc>
          <w:tcPr>
            <w:tcW w:type="dxa" w:w="2880"/>
          </w:tcPr>
          <w:p>
            <w:r>
              <w:t>Keep the approvals tracker current and flag any stalled sign-off</w:t>
            </w:r>
          </w:p>
        </w:tc>
        <w:tc>
          <w:tcPr>
            <w:tcW w:type="dxa" w:w="2880"/>
          </w:tcPr>
          <w:p>
            <w:r>
              <w:t>Michelle Black</w:t>
            </w:r>
          </w:p>
        </w:tc>
        <w:tc>
          <w:tcPr>
            <w:tcW w:type="dxa" w:w="2880"/>
          </w:tcPr>
          <w:p>
            <w:r>
              <w:t>Ongoing</w:t>
            </w:r>
          </w:p>
        </w:tc>
      </w:tr>
      <w:tr>
        <w:tc>
          <w:tcPr>
            <w:tcW w:type="dxa" w:w="2880"/>
          </w:tcPr>
          <w:p>
            <w:r>
              <w:t>Set the review and confirm the sequence for the second-half materials</w:t>
            </w:r>
          </w:p>
        </w:tc>
        <w:tc>
          <w:tcPr>
            <w:tcW w:type="dxa" w:w="2880"/>
          </w:tcPr>
          <w:p>
            <w:r>
              <w:t>Michael Morris</w:t>
            </w:r>
          </w:p>
        </w:tc>
        <w:tc>
          <w:tcPr>
            <w:tcW w:type="dxa" w:w="2880"/>
          </w:tcPr>
          <w:p>
            <w:r>
              <w:t>This week</w:t>
            </w:r>
          </w:p>
        </w:tc>
      </w:tr>
    </w:tbl>
    <w:p>
      <w:r>
        <w:t>Our next step is the review itself. Once Lauren Heath's notes are back on the draft, we lock the narrative and start the Q&amp;A, and I will send the calendar invite as soon as Mike confirms the 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Investor Relations Program for Castaneda, Adams and Davis</dc:title>
  <dc:subject/>
  <dc:creator>Michelle Black</dc:creator>
  <cp:keywords/>
  <dc:description>generated by python-docx</dc:description>
  <cp:lastModifiedBy>Michelle Black</cp:lastModifiedBy>
  <cp:revision>1</cp:revision>
  <dcterms:created xsi:type="dcterms:W3CDTF">2018-10-19T09:00:00Z</dcterms:created>
  <dcterms:modified xsi:type="dcterms:W3CDTF">2018-10-19T09:00:00Z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