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Investor Relations Program for Castaneda, Adams and Davis</w:t>
      </w:r>
    </w:p>
    <w:p>
      <w:pPr>
        <w:pStyle w:val="Heading2"/>
      </w:pPr>
      <w:r>
        <w:t>Present</w:t>
      </w:r>
    </w:p>
    <w:p>
      <w:pPr>
        <w:pStyle w:val="ListBullet"/>
      </w:pPr>
      <w:r>
        <w:t>Michael Morris, Partner, Advisory</w:t>
      </w:r>
    </w:p>
    <w:p>
      <w:pPr>
        <w:pStyle w:val="ListBullet"/>
      </w:pPr>
      <w:r>
        <w:t>Laura Bradley, Senior Associate, Advisory</w:t>
      </w:r>
    </w:p>
    <w:p>
      <w:pPr>
        <w:pStyle w:val="ListBullet"/>
      </w:pPr>
      <w:r>
        <w:t>Michelle Black, Communications Analyst, Advisory</w:t>
      </w:r>
    </w:p>
    <w:p>
      <w:pPr>
        <w:pStyle w:val="ListBullet"/>
      </w:pPr>
      <w:r>
        <w:t>Lauren Heath, Chief Operating Officer, Castaneda, Adams and Davis</w:t>
      </w:r>
    </w:p>
    <w:p>
      <w:r>
        <w:t>We sat down with Lauren Heath to take stock of the investor relations program and to line up the next stretch of work. The tone was easy. Most of what we set out to build is now in place, so this session was about running it well rather than starting anything new. These notes hold what we agreed, so we are all working from the same page.</w:t>
      </w:r>
    </w:p>
    <w:p>
      <w:pPr>
        <w:pStyle w:val="Heading2"/>
      </w:pPr>
      <w:r>
        <w:t>What we covered</w:t>
      </w:r>
    </w:p>
    <w:p>
      <w:r>
        <w:t>Michael Morris opened by walking through how the last investor update had landed. The response from the holders of Castaneda, Adams and Davis was steady, and no one raised a question we had not already prepared for. Lauren Heath said the board was comfortable with the tone. We took that as a sign the core messaging is holding. The work now is to keep it consistent, not to rewrite it.</w:t>
      </w:r>
    </w:p>
    <w:p>
      <w:r>
        <w:t>Laura Bradley then took us through the investor Q&amp;A. She has folded in the newer questions from the last round of calls, and the answers now match the language of the published update word for word. We agreed that consistency is the whole point. When a director and an analyst hear the same sentence, the message settles. Laura will keep the bank current as new questions come in.</w:t>
      </w:r>
    </w:p>
    <w:p>
      <w:r>
        <w:t>I raised the approval routing, since a couple of sign-offs have been slow to come back. Nothing is stuck. Still, the announcement windows are tight, and a day lost at the front is a day lost at the back. Lauren Heath offered to name a single point of contact on her side, so a draft does not wait on a full round. We were glad of that. It takes a step out of the loop and keeps the calendar honest.</w:t>
      </w:r>
    </w:p>
    <w:p>
      <w:r>
        <w:t>We closed on the next announcement. Michael Morris sketched two ways to frame it and recommended the simpler one, and Lauren Heath agreed. We also talked about keeping one voice to the market. Several people at Castaneda, Adams and Davis speak with investors, and the program only works if they carry the same words. Laura Bradley will send a short briefing note ahead of the window, so everyone is saying the same thing when it opens.</w:t>
      </w:r>
    </w:p>
    <w:p>
      <w:r>
        <w:t>Before we broke, Lauren Heath gave us her read on the program so far. She said it has been quiet in the right way, with fewer surprises reaching her desk than before. We were pleased to hear it. A calm inbox is most of what this kind of program is for. We agreed to keep the weekly status thread running, and to fold anything urgent into it rather than open a new chain.</w:t>
      </w:r>
    </w:p>
    <w:p>
      <w:pPr>
        <w:pStyle w:val="Heading2"/>
      </w:pPr>
      <w:r>
        <w:t>Who is doing what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By when</w:t>
            </w:r>
          </w:p>
        </w:tc>
      </w:tr>
      <w:tr>
        <w:tc>
          <w:tcPr>
            <w:tcW w:type="dxa" w:w="2880"/>
          </w:tcPr>
          <w:p>
            <w:r>
              <w:t>Fold the newest investor questions into the Q&amp;A</w:t>
            </w:r>
          </w:p>
        </w:tc>
        <w:tc>
          <w:tcPr>
            <w:tcW w:type="dxa" w:w="2880"/>
          </w:tcPr>
          <w:p>
            <w:r>
              <w:t>Laura Bradley</w:t>
            </w:r>
          </w:p>
        </w:tc>
        <w:tc>
          <w:tcPr>
            <w:tcW w:type="dxa" w:w="2880"/>
          </w:tcPr>
          <w:p>
            <w:r>
              <w:t>This week</w:t>
            </w:r>
          </w:p>
        </w:tc>
      </w:tr>
      <w:tr>
        <w:tc>
          <w:tcPr>
            <w:tcW w:type="dxa" w:w="2880"/>
          </w:tcPr>
          <w:p>
            <w:r>
              <w:t>Name a single approval contact for drafts</w:t>
            </w:r>
          </w:p>
        </w:tc>
        <w:tc>
          <w:tcPr>
            <w:tcW w:type="dxa" w:w="2880"/>
          </w:tcPr>
          <w:p>
            <w:r>
              <w:t>Lauren Heath</w:t>
            </w:r>
          </w:p>
        </w:tc>
        <w:tc>
          <w:tcPr>
            <w:tcW w:type="dxa" w:w="2880"/>
          </w:tcPr>
          <w:p>
            <w:r>
              <w:t>Before the next window</w:t>
            </w:r>
          </w:p>
        </w:tc>
      </w:tr>
      <w:tr>
        <w:tc>
          <w:tcPr>
            <w:tcW w:type="dxa" w:w="2880"/>
          </w:tcPr>
          <w:p>
            <w:r>
              <w:t>Draft the briefing note on message consistency</w:t>
            </w:r>
          </w:p>
        </w:tc>
        <w:tc>
          <w:tcPr>
            <w:tcW w:type="dxa" w:w="2880"/>
          </w:tcPr>
          <w:p>
            <w:r>
              <w:t>Laura Bradley</w:t>
            </w:r>
          </w:p>
        </w:tc>
        <w:tc>
          <w:tcPr>
            <w:tcW w:type="dxa" w:w="2880"/>
          </w:tcPr>
          <w:p>
            <w:r>
              <w:t>Ahead of the window</w:t>
            </w:r>
          </w:p>
        </w:tc>
      </w:tr>
      <w:tr>
        <w:tc>
          <w:tcPr>
            <w:tcW w:type="dxa" w:w="2880"/>
          </w:tcPr>
          <w:p>
            <w:r>
              <w:t>Confirm the framing for the next announcement with the board</w:t>
            </w:r>
          </w:p>
        </w:tc>
        <w:tc>
          <w:tcPr>
            <w:tcW w:type="dxa" w:w="2880"/>
          </w:tcPr>
          <w:p>
            <w:r>
              <w:t>Michael Morris</w:t>
            </w:r>
          </w:p>
        </w:tc>
        <w:tc>
          <w:tcPr>
            <w:tcW w:type="dxa" w:w="2880"/>
          </w:tcPr>
          <w:p>
            <w:r>
              <w:t>Next session</w:t>
            </w:r>
          </w:p>
        </w:tc>
      </w:tr>
      <w:tr>
        <w:tc>
          <w:tcPr>
            <w:tcW w:type="dxa" w:w="2880"/>
          </w:tcPr>
          <w:p>
            <w:r>
              <w:t>Track outstanding sign-offs and flag any that slip</w:t>
            </w:r>
          </w:p>
        </w:tc>
        <w:tc>
          <w:tcPr>
            <w:tcW w:type="dxa" w:w="2880"/>
          </w:tcPr>
          <w:p>
            <w:r>
              <w:t>Michelle Black</w:t>
            </w:r>
          </w:p>
        </w:tc>
        <w:tc>
          <w:tcPr>
            <w:tcW w:type="dxa" w:w="2880"/>
          </w:tcPr>
          <w:p>
            <w:r>
              <w:t>Ongoing</w:t>
            </w:r>
          </w:p>
        </w:tc>
      </w:tr>
    </w:tbl>
    <w:p>
      <w:r>
        <w:t>Our next step is the briefing note. Once Laura Bradley has it drafted and I have circulated it, everyone will be speaking from the same page before the window opens. We will reconvene after the announcement to see how it landed. Minutes prepared by Michelle Black.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Investor Relations Program for Castaneda, Adams and Davis</dc:title>
  <dc:subject/>
  <dc:creator>Michelle Black</dc:creator>
  <cp:keywords/>
  <dc:description>generated by python-docx</dc:description>
  <cp:lastModifiedBy>Michelle Black</cp:lastModifiedBy>
  <cp:revision>1</cp:revision>
  <dcterms:created xsi:type="dcterms:W3CDTF">2019-01-17T09:00:00Z</dcterms:created>
  <dcterms:modified xsi:type="dcterms:W3CDTF">2019-01-17T09:00:00Z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