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Reputation Audit — Status Report</w:t>
      </w:r>
    </w:p>
    <w:p>
      <w:r>
        <w:t>Prepared by Michelle Rose for the Gallegos, Pope and Marsh leadership. This report covers the reputation audit through its midpoint.</w:t>
      </w:r>
    </w:p>
    <w:p>
      <w:pPr>
        <w:pStyle w:val="Heading2"/>
      </w:pPr>
      <w:r>
        <w:t>Where things stand</w:t>
      </w:r>
    </w:p>
    <w:p>
      <w:r>
        <w:t>The audit is on schedule and on budget. The coverage review is finished, the perception interviews are underway, and the first findings are in draft. Nothing we have found changes the shape of the work we set out to do, and we do not expect the second half to demand more effort than planned. The engagement runs against a fixed fee of $45,500, and the hours booked to the midpoint sit comfortably inside it. We track time weekly, and no part of the work is running hot. If anything shifts on that front, you will hear it from us early, while there is still room to act on it.</w:t>
      </w:r>
    </w:p>
    <w:p>
      <w:pPr>
        <w:pStyle w:val="Heading2"/>
      </w:pPr>
      <w:r>
        <w:t>Done this period</w:t>
      </w:r>
    </w:p>
    <w:p>
      <w:r>
        <w:t>Kimberly Le completed the coverage read of the past eighteen months and sorted it into three themes: how the company communicates its finances, how visible its leadership is next to peers, and one legacy matter that recurs in trade coverage more often than its age warrants. We reviewed those themes with your team at the end of March, and they held up under the discussion. Since then we have run the first block of perception interviews, covering the investor side and the trade press, and the internal interviews are booked.</w:t>
      </w:r>
    </w:p>
    <w:p>
      <w:r>
        <w:t>The early signal tracks the coverage closely. Investors raise the financial-communications theme first, and usually without prompting, which tells us plainly where the Gallegos, Pope and Marsh account reads thinnest today. That is a useful thing to know at the halfway mark, because it points the recommendations at the place likely to move the needle most rather than spreading them thin across every finding. The trade-press interviews add a second note worth flagging: the legacy matter is remembered more sharply outside the company than inside it, which is the kind of gap the audit exists to catch.</w:t>
      </w:r>
    </w:p>
    <w:p>
      <w:r>
        <w:t>Alongside the interviews we built a coverage grid, sorting eighteen months of press and analyst notes by theme and by source. It is already a working reference, and it will sit behind the findings as the evidence anyone can check. Where we state a conclusion, you will be able to see the items it rests on.</w:t>
      </w:r>
    </w:p>
    <w:p>
      <w:pPr>
        <w:pStyle w:val="Heading2"/>
      </w:pPr>
      <w:r>
        <w:t>The next few weeks</w:t>
      </w:r>
    </w:p>
    <w:p>
      <w:r>
        <w:t>Three pieces of work remain in this half. We finish the internal interviews, which are the ones most likely to change our read, because they test whether the company sees itself the way the market does. We then reconcile everything we heard against the coverage, theme by theme, so each gap is shown with evidence and not merely asserted. From that we draft the recommendations: a short, usable set of moves on how Gallegos, Pope and Marsh presents its financial story and its leadership, written in language your executives can carry into their own conversations. You will see the draft findings before the recommendations, so nothing in the final note arrives cold.</w:t>
      </w:r>
    </w:p>
    <w:p>
      <w:pPr>
        <w:pStyle w:val="Heading2"/>
      </w:pPr>
      <w:r>
        <w:t>What could slow us</w:t>
      </w:r>
    </w:p>
    <w:p>
      <w:r>
        <w:t>One risk is worth stating plainly. The real value of the audit sits in the internal interviews, and those are the hardest to get on the calendar. If they slip, the reconciliation slips behind them, and the recommendations end up resting on a thinner base than they should. We have held the time for them and would ask that your side protect it. There is a second, smaller risk in the legacy matter. If it moves in the press during our window, the recommendations will have to account for it, and we will raise it with you the day we see it, not in the report.</w:t>
      </w:r>
    </w:p>
    <w:p>
      <w:r>
        <w:t>The one thing that keeps this on track is the internal interview schedule. If your side confirms the last participants, we will have the full findings drafted within two weeks of the final conversation, and the recommendations will follow from there.</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4A2E2A"/>
        <w:sz w:val="28"/>
      </w:rPr>
      <w:t>Ashcombe Advisory Partners LLC</w:t>
    </w:r>
  </w:p>
  <w:p>
    <w:r>
      <w:rPr>
        <w:sz w:val="18"/>
      </w:rPr>
      <w:t>www.ashcombeadvisory.com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Ashcombe Advisory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Status Report: Reputation Audit for Gallegos, Pope and Marsh</dc:title>
  <dc:subject/>
  <dc:creator>Michelle Rose</dc:creator>
  <cp:keywords/>
  <dc:description>generated by python-docx</dc:description>
  <cp:lastModifiedBy>Michelle Rose</cp:lastModifiedBy>
  <cp:revision>1</cp:revision>
  <dcterms:created xsi:type="dcterms:W3CDTF">2024-04-10T09:00:00Z</dcterms:created>
  <dcterms:modified xsi:type="dcterms:W3CDTF">2024-04-10T09:00:00Z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