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Status Report: Media Relations Program for Kirby-Taylor</w:t>
      </w:r>
    </w:p>
    <w:tbl>
      <w:tblPr>
        <w:tblStyle w:val="TableGrid"/>
        <w:tblW w:type="auto" w:w="0"/>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Detail</w:t>
            </w:r>
          </w:p>
        </w:tc>
      </w:tr>
      <w:tr>
        <w:tc>
          <w:tcPr>
            <w:tcW w:type="dxa" w:w="4320"/>
          </w:tcPr>
          <w:p>
            <w:r>
              <w:t>Engagement</w:t>
            </w:r>
          </w:p>
        </w:tc>
        <w:tc>
          <w:tcPr>
            <w:tcW w:type="dxa" w:w="4320"/>
          </w:tcPr>
          <w:p>
            <w:r>
              <w:t>Media Relations Program</w:t>
            </w:r>
          </w:p>
        </w:tc>
      </w:tr>
      <w:tr>
        <w:tc>
          <w:tcPr>
            <w:tcW w:type="dxa" w:w="4320"/>
          </w:tcPr>
          <w:p>
            <w:r>
              <w:t>Client</w:t>
            </w:r>
          </w:p>
        </w:tc>
        <w:tc>
          <w:tcPr>
            <w:tcW w:type="dxa" w:w="4320"/>
          </w:tcPr>
          <w:p>
            <w:r>
              <w:t>Kirby-Taylor</w:t>
            </w:r>
          </w:p>
        </w:tc>
      </w:tr>
      <w:tr>
        <w:tc>
          <w:tcPr>
            <w:tcW w:type="dxa" w:w="4320"/>
          </w:tcPr>
          <w:p>
            <w:r>
              <w:t>Prepared by</w:t>
            </w:r>
          </w:p>
        </w:tc>
        <w:tc>
          <w:tcPr>
            <w:tcW w:type="dxa" w:w="4320"/>
          </w:tcPr>
          <w:p>
            <w:r>
              <w:t>Laura Bradley, Senior Associate, Ashcombe Advisory Partners</w:t>
            </w:r>
          </w:p>
        </w:tc>
      </w:tr>
      <w:tr>
        <w:tc>
          <w:tcPr>
            <w:tcW w:type="dxa" w:w="4320"/>
          </w:tcPr>
          <w:p>
            <w:r>
              <w:t>Stage</w:t>
            </w:r>
          </w:p>
        </w:tc>
        <w:tc>
          <w:tcPr>
            <w:tcW w:type="dxa" w:w="4320"/>
          </w:tcPr>
          <w:p>
            <w:r>
              <w:t>Midpoint of the engagement</w:t>
            </w:r>
          </w:p>
        </w:tc>
      </w:tr>
    </w:tbl>
    <w:p>
      <w:pPr>
        <w:pStyle w:val="Heading2"/>
      </w:pPr>
      <w:r>
        <w:t>Where things stand</w:t>
      </w:r>
    </w:p>
    <w:p>
      <w:r>
        <w:t>We have reached the midpoint of the media program, and I am pleased to report it is on plan. The first half was about building the pieces: the message framework, the fact sheet, and a clear read on where the coverage stands today. Those are done, and the work is turning now from preparation to contact.</w:t>
      </w:r>
    </w:p>
    <w:p>
      <w:r>
        <w:t>What follows sets out what this period produced, what comes next, where the budget sits, and the few risks I am watching. None of it changes the course we set when we started.</w:t>
      </w:r>
    </w:p>
    <w:p>
      <w:pPr>
        <w:pStyle w:val="Heading2"/>
      </w:pPr>
      <w:r>
        <w:t>What we accomplished this period</w:t>
      </w:r>
    </w:p>
    <w:p>
      <w:r>
        <w:t>Most of the effort went into the foundation. With Kimberly Le, we built a baseline of current coverage and found the story about Kirby-Taylor to be accurate but thin, which is the opening we had hoped for. The message framework is drafted around that gap and is now with your team for final marks.</w:t>
      </w:r>
    </w:p>
    <w:p>
      <w:r>
        <w:t>Melissa Zimmerman completed the fact sheet, with every figure traced to a filing or to your written confirmation, so the numbers that reach reporters will match the record. The same figures now run through the message points and the press packet, which keeps one set of numbers across everything the firm sends on Kirby-Taylor's behalf.</w:t>
      </w:r>
    </w:p>
    <w:p>
      <w:r>
        <w:t>The working rhythm with your team has settled as well. Material that carries the firm's name clears through your office before it goes anywhere, and the turnaround has been quick enough that approvals have not held the work up. It is a small thing, but it is the kind of habit that pays off once the pace picks up.</w:t>
      </w:r>
    </w:p>
    <w:p>
      <w:pPr>
        <w:pStyle w:val="ListBullet"/>
      </w:pPr>
      <w:r>
        <w:t>A coverage baseline that maps where and how the company is being written about today.</w:t>
      </w:r>
    </w:p>
    <w:p>
      <w:pPr>
        <w:pStyle w:val="ListBullet"/>
      </w:pPr>
      <w:r>
        <w:t>A message framework, drafted and in review, that gives reporters a clearer story than the one they assemble on their own.</w:t>
      </w:r>
    </w:p>
    <w:p>
      <w:pPr>
        <w:pStyle w:val="ListBullet"/>
      </w:pPr>
      <w:r>
        <w:t>A locked fact sheet, every figure sourced, feeding the message points and the press packet.</w:t>
      </w:r>
    </w:p>
    <w:p>
      <w:pPr>
        <w:pStyle w:val="ListBullet"/>
      </w:pPr>
      <w:r>
        <w:t>A first media list, taking shape around the outlets that already follow the company.</w:t>
      </w:r>
    </w:p>
    <w:p>
      <w:pPr>
        <w:pStyle w:val="Heading2"/>
      </w:pPr>
      <w:r>
        <w:t>The work ahead</w:t>
      </w:r>
    </w:p>
    <w:p>
      <w:r>
        <w:t>The second half turns from building to reaching out. We will finish the media list, brief your spokesperson against the approved framework, and begin measured contact with the outlets that matter most. We will work in a deliberate order, not open every outlet at once.</w:t>
      </w:r>
    </w:p>
    <w:p>
      <w:r>
        <w:t>We plan to lead with the two trade outlets already covering the company, where a good first conversation does the most for the wider effort, and then broaden from there. Kimberly Le will manage the outreach, and I will sit in on the early calls so the framework holds from the first one.</w:t>
      </w:r>
    </w:p>
    <w:p>
      <w:r>
        <w:t>We will also begin to measure. From the first outreach on, Melissa Zimmerman and Kimberly Le will track coverage against the baseline, so that by the close of the program we can show you where the story about the company has moved, not only how much work went into it. That is the report I want to be able to give you at the end.</w:t>
      </w:r>
    </w:p>
    <w:p>
      <w:pPr>
        <w:pStyle w:val="ListBullet"/>
      </w:pPr>
      <w:r>
        <w:t>Finish and circulate the media list for your review.</w:t>
      </w:r>
    </w:p>
    <w:p>
      <w:pPr>
        <w:pStyle w:val="ListBullet"/>
      </w:pPr>
      <w:r>
        <w:t>Brief the spokesperson using the approved framework.</w:t>
      </w:r>
    </w:p>
    <w:p>
      <w:pPr>
        <w:pStyle w:val="ListBullet"/>
      </w:pPr>
      <w:r>
        <w:t>Open contact with the priority outlets, then broaden the list.</w:t>
      </w:r>
    </w:p>
    <w:p>
      <w:pPr>
        <w:pStyle w:val="ListBullet"/>
      </w:pPr>
      <w:r>
        <w:t>Track coverage against the baseline, so we can show movement rather than just activity.</w:t>
      </w:r>
    </w:p>
    <w:p>
      <w:pPr>
        <w:pStyle w:val="Heading2"/>
      </w:pPr>
      <w:r>
        <w:t>The budget</w:t>
      </w:r>
    </w:p>
    <w:p>
      <w:r>
        <w:t>The program is tracking within its fixed fee of $46,000, and the first half came in on the effort we scoped. The building phase is the heavier one, and the outreach ahead should sit comfortably inside the fee. If something outside the plan comes up, such as a fast-moving story that needs a full response, I will flag it and agree it with you before we take it on.</w:t>
      </w:r>
    </w:p>
    <w:p>
      <w:pPr>
        <w:pStyle w:val="Heading2"/>
      </w:pPr>
      <w:r>
        <w:t>Risks we are watching</w:t>
      </w:r>
    </w:p>
    <w:p>
      <w:r>
        <w:t>Three things are worth naming now, while each is still small. None threatens the program, and each has a plan sitting against it.</w:t>
      </w:r>
    </w:p>
    <w:p>
      <w:pPr>
        <w:pStyle w:val="ListBullet"/>
      </w:pPr>
      <w:r>
        <w:t>Timing of the first outreach. It lands only if the moment is right, and we will judge that with you rather than fix it to the calendar.</w:t>
      </w:r>
    </w:p>
    <w:p>
      <w:pPr>
        <w:pStyle w:val="ListBullet"/>
      </w:pPr>
      <w:r>
        <w:t>Consistency of the message. Several people may end up speaking for the company, so the framework and a short spokesperson briefing are there to keep everyone on the same story.</w:t>
      </w:r>
    </w:p>
    <w:p>
      <w:pPr>
        <w:pStyle w:val="ListBullet"/>
      </w:pPr>
      <w:r>
        <w:t>A change in the numbers. If a figure moves before we go public, Melissa Zimmerman will reconcile it and reissue the fact sheet the same day, so nothing stale reaches a reporter.</w:t>
      </w:r>
    </w:p>
    <w:p>
      <w:r>
        <w:t>The one thing that would help most before the next period is your team's marks on the message framework, which unlock both the media list and the spokesperson briefing. I will send a note to set a time to walk through this report, and we can confirm the outreach sequence then.</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Ashcombe Advisory Partners LLC</w:t>
    </w:r>
  </w:p>
  <w:p>
    <w:r>
      <w:rPr>
        <w:sz w:val="18"/>
      </w:rPr>
      <w:t>www.ashcombeadvisory.com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Ashcombe Advisory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Status Report: Media Relations Program for Kirby-Taylor</dc:title>
  <dc:subject/>
  <dc:creator>Laura Bradley</dc:creator>
  <cp:keywords/>
  <dc:description>generated by python-docx</dc:description>
  <cp:lastModifiedBy>Laura Bradley</cp:lastModifiedBy>
  <cp:revision>1</cp:revision>
  <dcterms:created xsi:type="dcterms:W3CDTF">2022-06-27T09:00:00Z</dcterms:created>
  <dcterms:modified xsi:type="dcterms:W3CDTF">2022-06-27T09:00:00Z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