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Crisis Communications for Lee, Rice and Adams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Crisis Communications</w:t>
            </w:r>
          </w:p>
        </w:tc>
      </w:tr>
      <w:tr>
        <w:tc>
          <w:tcPr>
            <w:tcW w:type="dxa" w:w="4320"/>
          </w:tcPr>
          <w:p>
            <w:r>
              <w:t>Client</w:t>
            </w:r>
          </w:p>
        </w:tc>
        <w:tc>
          <w:tcPr>
            <w:tcW w:type="dxa" w:w="4320"/>
          </w:tcPr>
          <w:p>
            <w:r>
              <w:t>Lee, Rice and Adams</w:t>
            </w:r>
          </w:p>
        </w:tc>
      </w:tr>
      <w:tr>
        <w:tc>
          <w:tcPr>
            <w:tcW w:type="dxa" w:w="4320"/>
          </w:tcPr>
          <w:p>
            <w:r>
              <w:t>Prepared by</w:t>
            </w:r>
          </w:p>
        </w:tc>
        <w:tc>
          <w:tcPr>
            <w:tcW w:type="dxa" w:w="4320"/>
          </w:tcPr>
          <w:p>
            <w:r>
              <w:t>Amy Carter, Communications Associate, Ashcombe Advisory Partners</w:t>
            </w:r>
          </w:p>
        </w:tc>
      </w:tr>
      <w:tr>
        <w:tc>
          <w:tcPr>
            <w:tcW w:type="dxa" w:w="4320"/>
          </w:tcPr>
          <w:p>
            <w:r>
              <w:t>Stage</w:t>
            </w:r>
          </w:p>
        </w:tc>
        <w:tc>
          <w:tcPr>
            <w:tcW w:type="dxa" w:w="4320"/>
          </w:tcPr>
          <w:p>
            <w:r>
              <w:t>Midpoint of the engagement</w:t>
            </w:r>
          </w:p>
        </w:tc>
      </w:tr>
    </w:tbl>
    <w:p>
      <w:pPr>
        <w:pStyle w:val="Heading2"/>
      </w:pPr>
      <w:r>
        <w:t>Where the engagement stands</w:t>
      </w:r>
    </w:p>
    <w:p>
      <w:r>
        <w:t>We have reached the midpoint of the crisis communications work for Lee, Rice and Adams, and I am glad to report the engagement is on plan and, in a couple of places, a little ahead of it. The first half was about response: getting in front of the matter with clear, consistent language and making sure the firm spoke with one voice under pressure. That footing is now steady, and the work is beginning to turn from holding the line to rebuilding the firm's standing.</w:t>
      </w:r>
    </w:p>
    <w:p>
      <w:r>
        <w:t>What follows sets out what this period produced, what comes next, where the budget sits, and the risks I am watching. None of it changes the direction we set at the outset; it carries that direction into the quieter months ahead.</w:t>
      </w:r>
    </w:p>
    <w:p>
      <w:pPr>
        <w:pStyle w:val="Heading2"/>
      </w:pPr>
      <w:r>
        <w:t>What we accomplished this period</w:t>
      </w:r>
    </w:p>
    <w:p>
      <w:r>
        <w:t>Most of the effort went into standing up a response the firm could rely on without hesitation. We agreed the small set of points that matter most, built the holding statement and a fuller question-and-answer set around them, and put both into use as queries came in. Nancy Suarez set up the approval path early, so every statement has cleared the same route and nothing has gone out unreviewed.</w:t>
      </w:r>
    </w:p>
    <w:p>
      <w:r>
        <w:t>Alongside the drafting, we prepared the handful of people most likely to be asked about the matter, walking them through the lines until the answers came back consistent. The daily monitoring has done its job as well: the coverage has stayed factual and narrow, and where a question looked likely to escalate we had a same-day response ready before it did.</w:t>
      </w:r>
    </w:p>
    <w:p>
      <w:pPr>
        <w:pStyle w:val="ListBullet"/>
      </w:pPr>
      <w:r>
        <w:t>An agreed message architecture: a short core statement and the supporting lines that answer the questions the firm is most likely to face.</w:t>
      </w:r>
    </w:p>
    <w:p>
      <w:pPr>
        <w:pStyle w:val="ListBullet"/>
      </w:pPr>
      <w:r>
        <w:t>A holding statement and a working question-and-answer set, both in use and revised as the matter has developed.</w:t>
      </w:r>
    </w:p>
    <w:p>
      <w:pPr>
        <w:pStyle w:val="ListBullet"/>
      </w:pPr>
      <w:r>
        <w:t>A daily monitoring read on coverage and reaction, with a same-day flag for anything needing a response.</w:t>
      </w:r>
    </w:p>
    <w:p>
      <w:pPr>
        <w:pStyle w:val="ListBullet"/>
      </w:pPr>
      <w:r>
        <w:t>A clear approval path, owned by Nancy Suarez, so statements clear quickly and consistently.</w:t>
      </w:r>
    </w:p>
    <w:p>
      <w:pPr>
        <w:pStyle w:val="Heading2"/>
      </w:pPr>
      <w:r>
        <w:t>The work ahead</w:t>
      </w:r>
    </w:p>
    <w:p>
      <w:r>
        <w:t>With the immediate response steady, the second half turns to the firm's standing over the coming months. We move from reacting to reaching out: a measured program of contact with the clients and referral sources whose regard matters most, refreshed language for the firm's own channels, and a short internal update so staff hear from leadership rather than from rumor. None of this reopens the response; it builds on the footing we have set.</w:t>
      </w:r>
    </w:p>
    <w:p>
      <w:r>
        <w:t>The order matters more than the pace. Reaching a handful of the most important relationships properly does more for the firm than a wide, generic note that reads as reputation management. Nancy Suarez and I will draft the plan around the names you give us and bring it to you before any of it goes out.</w:t>
      </w:r>
    </w:p>
    <w:p>
      <w:pPr>
        <w:pStyle w:val="ListBullet"/>
      </w:pPr>
      <w:r>
        <w:t>A proactive outreach plan for priority clients and referral sources, for the partner's sign-off before anything goes out.</w:t>
      </w:r>
    </w:p>
    <w:p>
      <w:pPr>
        <w:pStyle w:val="ListBullet"/>
      </w:pPr>
      <w:r>
        <w:t>Refreshed boilerplate and website language that reflects where the firm now stands.</w:t>
      </w:r>
    </w:p>
    <w:p>
      <w:pPr>
        <w:pStyle w:val="ListBullet"/>
      </w:pPr>
      <w:r>
        <w:t>A follow-up note to employees, kept plain and honest.</w:t>
      </w:r>
    </w:p>
    <w:p>
      <w:pPr>
        <w:pStyle w:val="ListBullet"/>
      </w:pPr>
      <w:r>
        <w:t>A short readiness refresh for spokespeople ahead of the quieter phase.</w:t>
      </w:r>
    </w:p>
    <w:p>
      <w:pPr>
        <w:pStyle w:val="Heading2"/>
      </w:pPr>
      <w:r>
        <w:t>The budget</w:t>
      </w:r>
    </w:p>
    <w:p>
      <w:r>
        <w:t>The engagement is tracking within its fixed fee of $46,500, and the first half came in on the effort we scoped. The round-the-clock stretch of the response is behind us, which should keep the second half comfortably inside the fee. If something outside the original plan comes up, such as a fresh development that needs a full new statement, I will flag it and agree it with you before we take it on.</w:t>
      </w:r>
    </w:p>
    <w:p>
      <w:pPr>
        <w:pStyle w:val="Heading2"/>
      </w:pPr>
      <w:r>
        <w:t>Risks I am watching</w:t>
      </w:r>
    </w:p>
    <w:p>
      <w:r>
        <w:t>Three things are worth naming now, while each is still easy to manage. None threatens the engagement, and each has a plan sitting against it.</w:t>
      </w:r>
    </w:p>
    <w:p>
      <w:pPr>
        <w:pStyle w:val="ListBullet"/>
      </w:pPr>
      <w:r>
        <w:t>A second development. A crisis can be reopened by a new fact or a new inquiry. We keep the holding lines current and the approval path warm so we are not caught flat if that happens.</w:t>
      </w:r>
    </w:p>
    <w:p>
      <w:pPr>
        <w:pStyle w:val="ListBullet"/>
      </w:pPr>
      <w:r>
        <w:t>Consistency of voice. Several people at the firm may be asked about the matter. The question-and-answer set and a short spokesperson refresh are there to keep everyone answering the same way.</w:t>
      </w:r>
    </w:p>
    <w:p>
      <w:pPr>
        <w:pStyle w:val="ListBullet"/>
      </w:pPr>
      <w:r>
        <w:t>Timing of the outreach. The outreach only lands if the moment is right, and we will judge that with you rather than fix it in advance by the calendar.</w:t>
      </w:r>
    </w:p>
    <w:p>
      <w:r>
        <w:t>The one thing I need from you before the next period is a short list of the clients and referral sources you would want us to reach first, which lets us shape the outreach plan around the relationships that matter most to you. I will send a note to set a time to walk through it, and Nancy Suarez and I will have a first draft ready for that conversation.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Crisis Communications for Lee, Rice and Adams</dc:title>
  <dc:subject/>
  <dc:creator>Amy Carter</dc:creator>
  <cp:keywords/>
  <dc:description>generated by python-docx</dc:description>
  <cp:lastModifiedBy>Amy Carter</cp:lastModifiedBy>
  <cp:revision>1</cp:revision>
  <dcterms:created xsi:type="dcterms:W3CDTF">2021-11-20T09:00:00Z</dcterms:created>
  <dcterms:modified xsi:type="dcterms:W3CDTF">2021-11-20T09:00:00Z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