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Crisis Communications for Lee, Rice and Adams</w:t>
      </w:r>
    </w:p>
    <w:p>
      <w:pPr>
        <w:pStyle w:val="Heading2"/>
      </w:pPr>
      <w:r>
        <w:t>Present</w:t>
      </w:r>
    </w:p>
    <w:p>
      <w:pPr>
        <w:pStyle w:val="ListBullet"/>
      </w:pPr>
      <w:r>
        <w:t>Nancy Suarez, Communications Associate, Ashcombe Advisory Partners</w:t>
      </w:r>
    </w:p>
    <w:p>
      <w:pPr>
        <w:pStyle w:val="ListBullet"/>
      </w:pPr>
      <w:r>
        <w:t>Amy Carter, Communications Associate, Ashcombe Advisory Partners</w:t>
      </w:r>
    </w:p>
    <w:p>
      <w:pPr>
        <w:pStyle w:val="ListBullet"/>
      </w:pPr>
      <w:r>
        <w:t>Megan Sutton, Director of Operations, Lee, Rice and Adams</w:t>
      </w:r>
    </w:p>
    <w:p>
      <w:pPr>
        <w:pStyle w:val="Heading2"/>
      </w:pPr>
      <w:r>
        <w:t>Matters discussed</w:t>
      </w:r>
    </w:p>
    <w:p>
      <w:r>
        <w:t>The team met by video to review the engagement in its later stage and to plan for close-out. Nancy Suarez chaired and recorded these minutes. The matter is quiet, and the discussion focused on the wind-down and handover.</w:t>
      </w:r>
    </w:p>
    <w:p>
      <w:r>
        <w:t>Amy Carter reported that the proactive outreach is largely complete. The priority clients and referral sources have been contacted, the responses have been steady, and there is no sign the matter has cost the firm a core relationship.</w:t>
      </w:r>
    </w:p>
    <w:p>
      <w:r>
        <w:t>Two clients had asked direct questions during the outreach. Both were answered from the standing lines, and neither has raised the matter since. Amy Carter judged the relationships intact.</w:t>
      </w:r>
    </w:p>
    <w:p>
      <w:r>
        <w:t>Coverage has stopped. There has been no new reporting in several weeks, and monitoring is down to a weekly scan. The group agreed monitoring can end at close-out, with a note to the firm on how to watch for any late resurfacing on its own.</w:t>
      </w:r>
    </w:p>
    <w:p>
      <w:r>
        <w:t>Megan Sutton confirmed that internal sentiment at Lee, Rice and Adams has recovered. The employee follow-up landed well, and there are no open questions from staff.</w:t>
      </w:r>
    </w:p>
    <w:p>
      <w:r>
        <w:t>Nancy Suarez reported that the firm's website language and standard boilerplate still carry the crisis-period phrasing. The group agreed both should return to normal wording as part of close-out, so nothing keeps signalling an active matter once this one has passed.</w:t>
      </w:r>
    </w:p>
    <w:p>
      <w:r>
        <w:t>The group turned to close-out. The remaining work is to refresh the firm's standard language for normal use, assemble a short handover pack, and hold a final review with leadership. Amy Carter will draft the handover; Nancy Suarez will assemble the file of statements and approvals for the client's records.</w:t>
      </w:r>
    </w:p>
    <w:p>
      <w:r>
        <w:t>Nancy Suarez confirmed the file is nearly complete. Every statement, its approver, and the date it cleared is logged, and the only remaining gap is the last stretch of monitoring notes.</w:t>
      </w:r>
    </w:p>
    <w:p>
      <w:r>
        <w:t>Megan Sutton asked whether the firm should keep any capability on standby after the engagement ends. The group agreed to include a brief section in the handover on what to do if the matter resurfaces, setting out who to call and the first steps, so the firm is not starting cold.</w:t>
      </w:r>
    </w:p>
    <w:p>
      <w:r>
        <w:t>Amy Carter suggested a short closing note to the priority contacts who engaged during the outreach. The group agreed a brief, warm thank-you is worth sending as part of close-out, kept free of any reference to the matter itself.</w:t>
      </w:r>
    </w:p>
    <w:p>
      <w:pPr>
        <w:pStyle w:val="Heading2"/>
      </w:pPr>
      <w:r>
        <w:t>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Due</w:t>
            </w:r>
          </w:p>
        </w:tc>
      </w:tr>
      <w:tr>
        <w:tc>
          <w:tcPr>
            <w:tcW w:type="dxa" w:w="2880"/>
          </w:tcPr>
          <w:p>
            <w:r>
              <w:t>Draft the close-out handover pack, including a section on what to do if the matter resurfaces</w:t>
            </w:r>
          </w:p>
        </w:tc>
        <w:tc>
          <w:tcPr>
            <w:tcW w:type="dxa" w:w="2880"/>
          </w:tcPr>
          <w:p>
            <w:r>
              <w:t>Amy Carter</w:t>
            </w:r>
          </w:p>
        </w:tc>
        <w:tc>
          <w:tcPr>
            <w:tcW w:type="dxa" w:w="2880"/>
          </w:tcPr>
          <w:p>
            <w:r>
              <w:t>Within two weeks</w:t>
            </w:r>
          </w:p>
        </w:tc>
      </w:tr>
      <w:tr>
        <w:tc>
          <w:tcPr>
            <w:tcW w:type="dxa" w:w="2880"/>
          </w:tcPr>
          <w:p>
            <w:r>
              <w:t>Assemble the file of statements and approvals for the client</w:t>
            </w:r>
          </w:p>
        </w:tc>
        <w:tc>
          <w:tcPr>
            <w:tcW w:type="dxa" w:w="2880"/>
          </w:tcPr>
          <w:p>
            <w:r>
              <w:t>Nancy Suarez</w:t>
            </w:r>
          </w:p>
        </w:tc>
        <w:tc>
          <w:tcPr>
            <w:tcW w:type="dxa" w:w="2880"/>
          </w:tcPr>
          <w:p>
            <w:r>
              <w:t>Within two weeks</w:t>
            </w:r>
          </w:p>
        </w:tc>
      </w:tr>
      <w:tr>
        <w:tc>
          <w:tcPr>
            <w:tcW w:type="dxa" w:w="2880"/>
          </w:tcPr>
          <w:p>
            <w:r>
              <w:t>Refresh the firm's standard boilerplate for normal use</w:t>
            </w:r>
          </w:p>
        </w:tc>
        <w:tc>
          <w:tcPr>
            <w:tcW w:type="dxa" w:w="2880"/>
          </w:tcPr>
          <w:p>
            <w:r>
              <w:t>Amy Carter</w:t>
            </w:r>
          </w:p>
        </w:tc>
        <w:tc>
          <w:tcPr>
            <w:tcW w:type="dxa" w:w="2880"/>
          </w:tcPr>
          <w:p>
            <w:r>
              <w:t>Before close-out</w:t>
            </w:r>
          </w:p>
        </w:tc>
      </w:tr>
      <w:tr>
        <w:tc>
          <w:tcPr>
            <w:tcW w:type="dxa" w:w="2880"/>
          </w:tcPr>
          <w:p>
            <w:r>
              <w:t>Schedule the final review with leadership</w:t>
            </w:r>
          </w:p>
        </w:tc>
        <w:tc>
          <w:tcPr>
            <w:tcW w:type="dxa" w:w="2880"/>
          </w:tcPr>
          <w:p>
            <w:r>
              <w:t>Megan Sutton</w:t>
            </w:r>
          </w:p>
        </w:tc>
        <w:tc>
          <w:tcPr>
            <w:tcW w:type="dxa" w:w="2880"/>
          </w:tcPr>
          <w:p>
            <w:r>
              <w:t>Before month end</w:t>
            </w:r>
          </w:p>
        </w:tc>
      </w:tr>
    </w:tbl>
    <w:p>
      <w:r>
        <w:t>Minutes recorded by Nancy Suarez. The next and likely final working session will cover the handover pack and the close-out review.</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Crisis Communications for Lee, Rice and Adams</dc:title>
  <dc:subject/>
  <dc:creator>Nancy Suarez</dc:creator>
  <cp:keywords/>
  <dc:description>generated by python-docx</dc:description>
  <cp:lastModifiedBy>Nancy Suarez</cp:lastModifiedBy>
  <cp:revision>1</cp:revision>
  <dcterms:created xsi:type="dcterms:W3CDTF">2022-01-25T09:00:00Z</dcterms:created>
  <dcterms:modified xsi:type="dcterms:W3CDTF">2022-01-25T09:00:00Z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