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w:t>
      </w:r>
    </w:p>
    <w:p>
      <w:r>
        <w:t>Engagement: Executive Messaging for Suarez-Jones. Prepared by John Macias.</w:t>
      </w:r>
    </w:p>
    <w:p>
      <w:pPr>
        <w:pStyle w:val="Heading2"/>
      </w:pPr>
      <w:r>
        <w:t>Where the work stands</w:t>
      </w:r>
    </w:p>
    <w:p>
      <w:r>
        <w:t>We are roughly at the midpoint of the engagement, and the work is on track. The core messages are drafted, tested against the leadership's own words, and close to final. Both sides are pulling the same way, and the correspondence has stayed clean, which is what keeps a job like this from drifting.</w:t>
      </w:r>
    </w:p>
    <w:p>
      <w:r>
        <w:t>The short version is that the hard part, agreeing what the company should say and in what voice, is largely behind us. What remains is to lock the wording and build the materials that carry it. That is the steadier half of the work.</w:t>
      </w:r>
    </w:p>
    <w:p>
      <w:r>
        <w:t>On the commercials, the engagement runs on a fixed fee of $102,000, and we are tracking within it. A little under half of the fee is committed against the work done to date. That is where we would want to be at this stage, with the more predictable phase still ahead of us.</w:t>
      </w:r>
    </w:p>
    <w:p>
      <w:pPr>
        <w:pStyle w:val="Heading2"/>
      </w:pPr>
      <w:r>
        <w:t>Since the last report</w:t>
      </w:r>
    </w:p>
    <w:p>
      <w:r>
        <w:t>We completed the round of executive interviews and used them to sharpen the core set. Two of the messages changed in a real way once we heard how the leadership actually speaks. Both are stronger for it, and both read now as the company's own rather than ours.</w:t>
      </w:r>
    </w:p>
    <w:p>
      <w:r>
        <w:t>Amy Carter took your team's marks on the first set and reworked the investor-facing lines, holding the meaning while easing the claims that felt a shade too firm. We reviewed the refined set with the Suarez-Jones leadership at our last working session, and the feedback was light. We settled the two lines that mattered most in the room.</w:t>
      </w:r>
    </w:p>
    <w:p>
      <w:r>
        <w:t>The review itself was a good sign. Your leadership pushed on exactly the lines we expected them to push on, and left the rest largely alone. When a client's marks land where you thought they would, it usually means the underlying account is sound, and we took it that way.</w:t>
      </w:r>
    </w:p>
    <w:p>
      <w:r>
        <w:t>We have also opened the client-facing materials that will carry the messages outward. Those are early and deliberately so. We are keeping them light until the core set is locked, so nothing has to be remade around a late change to the wording.</w:t>
      </w:r>
    </w:p>
    <w:p>
      <w:r>
        <w:t>On our side, Amy Carter has kept the correspondence and the version history in order throughout, so the current draft is always the one you are reading and nothing lives only in an inbox. It is unglamorous work, and it is the reason a job this heavy on email has stayed legible.</w:t>
      </w:r>
    </w:p>
    <w:p>
      <w:pPr>
        <w:pStyle w:val="Heading2"/>
      </w:pPr>
      <w:r>
        <w:t>The weeks ahead</w:t>
      </w:r>
    </w:p>
    <w:p>
      <w:r>
        <w:t>The immediate step is to lock the core messages. One round of marks is outstanding, and once those are in, the set is final. Amy Carter and I can close that out the same week the marks come back.</w:t>
      </w:r>
    </w:p>
    <w:p>
      <w:r>
        <w:t>From there we build the materials in earnest and prepare your executives to carry the language into their own conversations, the announcements and investor briefings where it has to hold. I expect this half of the engagement to move at a steadier pace than the first, now that the foundation is set.</w:t>
      </w:r>
    </w:p>
    <w:p>
      <w:r>
        <w:t>In practical terms, the coming weeks will hold less of the open-ended work of the first half and more of the concrete: a fixed set of messages, a defined set of materials, and a plan to hand the language to the people who will speak it. We will keep the same cadence of short notes tied to each piece, so you can follow the work without having to ask where it stands.</w:t>
      </w:r>
    </w:p>
    <w:p>
      <w:pPr>
        <w:pStyle w:val="Heading2"/>
      </w:pPr>
      <w:r>
        <w:t>What I am watching</w:t>
      </w:r>
    </w:p>
    <w:p>
      <w:r>
        <w:t>Two things, both small. The investor-facing lines are the most likely to draw a late change, so I am keeping room for one more pass on them before we fix the set. And because the materials depend on a locked core set, any slip on the wording will push the build behind it. Neither worries me at this point. I am simply keeping an eye on both.</w:t>
      </w:r>
    </w:p>
    <w:p>
      <w:r>
        <w:t>The one thing I need from your side is the final round of marks on the refined messages. Send those back whenever they are ready, and we will lock the set within the week. I will send the next report at the three-quarter mark, or sooner if anything of note moves before then.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Executive Messaging for Suarez-Jones</dc:title>
  <dc:subject/>
  <dc:creator>John Macias</dc:creator>
  <cp:keywords/>
  <dc:description>generated by python-docx</dc:description>
  <cp:lastModifiedBy>John Macias</cp:lastModifiedBy>
  <cp:revision>1</cp:revision>
  <dcterms:created xsi:type="dcterms:W3CDTF">2023-09-15T09:00:00Z</dcterms:created>
  <dcterms:modified xsi:type="dcterms:W3CDTF">2023-09-15T09:00:00Z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