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w:t>
      </w:r>
    </w:p>
    <w:p>
      <w:r>
        <w:t>Engagement: Executive Messaging for Suarez-Jones. Recorded by Amy Carter. This note captures what we discussed, what we agreed, and who carries each piece forward.</w:t>
      </w:r>
    </w:p>
    <w:p>
      <w:pPr>
        <w:pStyle w:val="Heading2"/>
      </w:pPr>
      <w:r>
        <w:t>Present</w:t>
      </w:r>
    </w:p>
    <w:p>
      <w:pPr>
        <w:pStyle w:val="ListBullet"/>
      </w:pPr>
      <w:r>
        <w:t>Amy Carter, Communications Associate, Ashcombe Advisory Partners</w:t>
      </w:r>
    </w:p>
    <w:p>
      <w:pPr>
        <w:pStyle w:val="ListBullet"/>
      </w:pPr>
      <w:r>
        <w:t>John Macias, Associate, Ashcombe Advisory Partners</w:t>
      </w:r>
    </w:p>
    <w:p>
      <w:pPr>
        <w:pStyle w:val="ListBullet"/>
      </w:pPr>
      <w:r>
        <w:t>Jennifer Herrera, VP Finance, Suarez-Jones</w:t>
      </w:r>
    </w:p>
    <w:p>
      <w:pPr>
        <w:pStyle w:val="Heading2"/>
      </w:pPr>
      <w:r>
        <w:t>What we covered</w:t>
      </w:r>
    </w:p>
    <w:p>
      <w:r>
        <w:t>We met to take stock of the executive messaging work at its midpoint and to agree what carries us through the coming weeks. The room was small and the conversation direct, which is how this engagement has run from the start.</w:t>
      </w:r>
    </w:p>
    <w:p>
      <w:r>
        <w:t>John Macias reported that the round of executive interviews is complete. He walked us through what the leadership's own language had changed, and two of the core messages have already been reshaped around how the executives actually speak. The group agreed the set now sits closer to the company's own voice, which was the whole point of the exercise.</w:t>
      </w:r>
    </w:p>
    <w:p>
      <w:r>
        <w:t>Jennifer Herrera then took us through her team's marks on the first set. Most were small matters of tone, but two touched the investor-facing line we had flagged at the outset. We talked through how to hold the meaning while easing the claim, and settled on wording in the room. I will circulate that wording for a final read before it is fixed.</w:t>
      </w:r>
    </w:p>
    <w:p>
      <w:r>
        <w:t>We also looked ahead to the client-facing materials that will carry the messages outward. Those are still early by design. We agreed to keep them light until the core set is locked, so the finished pieces are built once rather than remade around a late change.</w:t>
      </w:r>
    </w:p>
    <w:p>
      <w:r>
        <w:t>On cadence, we agreed the current rhythm is working: short notes tied to the piece of work they concern, a standing thread for the messaging, and a working session like this one when a decision needs the whole group in a room. Jennifer Herrera asked that we keep her copied on anything that touches timing, and we will.</w:t>
      </w:r>
    </w:p>
    <w:p>
      <w:pPr>
        <w:pStyle w:val="Heading2"/>
      </w:pPr>
      <w:r>
        <w:t>Where we landed</w:t>
      </w:r>
    </w:p>
    <w:p>
      <w:r>
        <w:t>The core messages are close to final, pending the last read on the two reworked lines. The materials wait on that lock. We set the next checkpoint as a working review of the refined set with the wider Suarez-Jones leadership, ahead of any further build.</w:t>
      </w:r>
    </w:p>
    <w:p>
      <w:r>
        <w:t>We noted one open risk, and it is a mild one. The investor-facing lines are the most likely to draw a late change, so we are holding a little room for one more pass on them before the set is fixed. Nothing about the timeline concerns us at this point.</w:t>
      </w:r>
    </w:p>
    <w:p>
      <w:pPr>
        <w:pStyle w:val="Heading2"/>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By when</w:t>
            </w:r>
          </w:p>
        </w:tc>
      </w:tr>
      <w:tr>
        <w:tc>
          <w:tcPr>
            <w:tcW w:type="dxa" w:w="2880"/>
          </w:tcPr>
          <w:p>
            <w:r>
              <w:t>Amy Carter</w:t>
            </w:r>
          </w:p>
        </w:tc>
        <w:tc>
          <w:tcPr>
            <w:tcW w:type="dxa" w:w="2880"/>
          </w:tcPr>
          <w:p>
            <w:r>
              <w:t>Circulate the agreed wording on the two investor-facing lines for a final read</w:t>
            </w:r>
          </w:p>
        </w:tc>
        <w:tc>
          <w:tcPr>
            <w:tcW w:type="dxa" w:w="2880"/>
          </w:tcPr>
          <w:p>
            <w:r>
              <w:t>This week</w:t>
            </w:r>
          </w:p>
        </w:tc>
      </w:tr>
      <w:tr>
        <w:tc>
          <w:tcPr>
            <w:tcW w:type="dxa" w:w="2880"/>
          </w:tcPr>
          <w:p>
            <w:r>
              <w:t>John Macias</w:t>
            </w:r>
          </w:p>
        </w:tc>
        <w:tc>
          <w:tcPr>
            <w:tcW w:type="dxa" w:w="2880"/>
          </w:tcPr>
          <w:p>
            <w:r>
              <w:t>Fold the interview language into the two revised core messages</w:t>
            </w:r>
          </w:p>
        </w:tc>
        <w:tc>
          <w:tcPr>
            <w:tcW w:type="dxa" w:w="2880"/>
          </w:tcPr>
          <w:p>
            <w:r>
              <w:t>This week</w:t>
            </w:r>
          </w:p>
        </w:tc>
      </w:tr>
      <w:tr>
        <w:tc>
          <w:tcPr>
            <w:tcW w:type="dxa" w:w="2880"/>
          </w:tcPr>
          <w:p>
            <w:r>
              <w:t>Jennifer Herrera</w:t>
            </w:r>
          </w:p>
        </w:tc>
        <w:tc>
          <w:tcPr>
            <w:tcW w:type="dxa" w:w="2880"/>
          </w:tcPr>
          <w:p>
            <w:r>
              <w:t>Confirm the attendees for the leadership review</w:t>
            </w:r>
          </w:p>
        </w:tc>
        <w:tc>
          <w:tcPr>
            <w:tcW w:type="dxa" w:w="2880"/>
          </w:tcPr>
          <w:p>
            <w:r>
              <w:t>Before the next session</w:t>
            </w:r>
          </w:p>
        </w:tc>
      </w:tr>
      <w:tr>
        <w:tc>
          <w:tcPr>
            <w:tcW w:type="dxa" w:w="2880"/>
          </w:tcPr>
          <w:p>
            <w:r>
              <w:t>John Macias</w:t>
            </w:r>
          </w:p>
        </w:tc>
        <w:tc>
          <w:tcPr>
            <w:tcW w:type="dxa" w:w="2880"/>
          </w:tcPr>
          <w:p>
            <w:r>
              <w:t>Draft the outline for the client-facing materials</w:t>
            </w:r>
          </w:p>
        </w:tc>
        <w:tc>
          <w:tcPr>
            <w:tcW w:type="dxa" w:w="2880"/>
          </w:tcPr>
          <w:p>
            <w:r>
              <w:t>Ahead of the review</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Executive Messaging for Suarez-Jones</dc:title>
  <dc:subject/>
  <dc:creator>Amy Carter</dc:creator>
  <cp:keywords/>
  <dc:description>generated by python-docx</dc:description>
  <cp:lastModifiedBy>Amy Carter</cp:lastModifiedBy>
  <cp:revision>1</cp:revision>
  <dcterms:created xsi:type="dcterms:W3CDTF">2023-08-31T09:00:00Z</dcterms:created>
  <dcterms:modified xsi:type="dcterms:W3CDTF">2023-08-31T09:00:00Z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