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Ashcombe Advisory Partners</w:t>
      </w:r>
    </w:p>
    <w:p>
      <w:r>
        <w:t>We help companies say difficult things well. That is the plainest description of the firm, and after several years of the work we have not found a better one. Ashcombe Advisory Partners has advised on corporate communications and investor relations since we opened our doors in 2014, working mostly with mid-market public companies and the private firms preparing to join them. The common thread among our clients is not their industry but the moment they are in, a point where the words they choose carry unusual weight.</w:t>
      </w:r>
    </w:p>
    <w:p>
      <w:r>
        <w:t>Our clients come to us when a message matters more than usual. An announcement is due, a quarter needs explaining, or a piece of unwelcome news has to reach the market in the right words and the right order. We are the people a company calls to get the wording right before it goes out, and to think carefully through who should hear it first, and how, and when.</w:t>
      </w:r>
    </w:p>
    <w:p>
      <w:pPr>
        <w:pStyle w:val="Heading2"/>
      </w:pPr>
      <w:r>
        <w:t>The work we do</w:t>
      </w:r>
    </w:p>
    <w:p>
      <w:r>
        <w:t>Most of what we produce for a client is correspondence. A well-judged email, sent to the right person at the right hour, does more for a company's standing than a thick deck ever will, and the discipline of the firm shows in how those everyday messages read. We draft the language, route the approvals, and keep the timeline of an announcement moving without letting anything slip. It is unglamorous work, and we are rather proud of how well we do it.</w:t>
      </w:r>
    </w:p>
    <w:p>
      <w:r>
        <w:t>Around that daily work sits a smaller body of formal advice. We shape the positioning a company leads with, counsel a board before it speaks, and write the handful of documents that have to be exactly right. We keep those deliberately few, because the firm's character is in how it corresponds, not in how much it commits to paper. A firm that writes less, and means every word, is an easier one to trust.</w:t>
      </w:r>
    </w:p>
    <w:p>
      <w:pPr>
        <w:pStyle w:val="Heading2"/>
      </w:pPr>
      <w:r>
        <w:t>Where we help</w:t>
      </w:r>
    </w:p>
    <w:p>
      <w:r>
        <w:t>Our practice runs along a few clear lines, and most engagements draw on more than one of them.</w:t>
      </w:r>
    </w:p>
    <w:p>
      <w:pPr>
        <w:pStyle w:val="ListBullet"/>
      </w:pPr>
      <w:r>
        <w:t>Positioning and messaging, so a company knows what it stands for before the market thinks to ask.</w:t>
      </w:r>
    </w:p>
    <w:p>
      <w:pPr>
        <w:pStyle w:val="ListBullet"/>
      </w:pPr>
      <w:r>
        <w:t>Announcements and the timing of disclosure, from a routine result to news that will move a share price.</w:t>
      </w:r>
    </w:p>
    <w:p>
      <w:pPr>
        <w:pStyle w:val="ListBullet"/>
      </w:pPr>
      <w:r>
        <w:t>Investor relations, the steady work of keeping the people who own a company properly informed.</w:t>
      </w:r>
    </w:p>
    <w:p>
      <w:pPr>
        <w:pStyle w:val="ListBullet"/>
      </w:pPr>
      <w:r>
        <w:t>Reputation and issues, where a single careless line can undo years of goodwill and discretion is most of the assignment.</w:t>
      </w:r>
    </w:p>
    <w:p>
      <w:pPr>
        <w:pStyle w:val="Heading2"/>
      </w:pPr>
      <w:r>
        <w:t>One engagement, by way of illustration</w:t>
      </w:r>
    </w:p>
    <w:p>
      <w:r>
        <w:t>Our work with Barrera Group is a fair example of how we operate. We gave careful attention to who needed to hear a message, and in what order, before any of it became public, and we kept the drafting close so that nothing left the firm without a considered read. The result was quiet, which in our line of work is usually the point. We offer it as one illustration among our engagements, not as the whole of what we do, and we are careful to keep one client's business well away from another's.</w:t>
      </w:r>
    </w:p>
    <w:p>
      <w:pPr>
        <w:pStyle w:val="Heading2"/>
      </w:pPr>
      <w:r>
        <w:t>How we work</w:t>
      </w:r>
    </w:p>
    <w:p>
      <w:r>
        <w:t>Two people set the standard for that care. Julie Hill leads the firm and keeps the most sensitive announcements in her own hands, on the simple principle that a market-moving line deserves a partner's read before anyone sends it. Christopher Walton carries our most delicate reputational work, and he is the one who will slow a thread down on purpose when speed would be the real mistake.</w:t>
      </w:r>
    </w:p>
    <w:p>
      <w:r>
        <w:t>Below them the firm runs lean, and by design. A bench of advisors and analysts each carry a few client relationships at once, supported by a small operations team that keeps the schedules, the files, and the mailbox in order. Nobody here is more than a step from the work, which is part of why the answers come back quickly. It is a deliberately quiet way to operate, and our clients tend to prefer it that way.</w:t>
      </w:r>
    </w:p>
    <w:p>
      <w:pPr>
        <w:pStyle w:val="Heading2"/>
      </w:pPr>
      <w:r>
        <w:t>If you have news coming</w:t>
      </w:r>
    </w:p>
    <w:p>
      <w:r>
        <w:t>If you have an announcement on the horizon, or a quarter that will be harder to explain than most, the useful next step is a conversation. Call us, and we will listen first, then tell you plainly what we would say and when we would say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2017-03-17T09:00:00Z</dcterms:created>
  <dcterms:modified xsi:type="dcterms:W3CDTF">2017-03-17T09:00:00Z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