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Ashcombe Advisory Partners is a corporate communications and investor relations advisory. We started the firm in 2014 to help management teams say the things that matter about their companies clearly, and to say them at the moment that serves the company best. Our clients sit in the middle of the market, some already public and some working toward it, and they tend to come to us when an ordinary stretch turns into one that will invite questions.</w:t>
      </w:r>
    </w:p>
    <w:p>
      <w:pPr>
        <w:pStyle w:val="Heading2"/>
      </w:pPr>
      <w:r>
        <w:t>Our practice</w:t>
      </w:r>
    </w:p>
    <w:p>
      <w:r>
        <w:t>Most of our work falls into three related lines, and a given engagement usually draws on more than one of them. The first is positioning: helping a company agree how it describes itself and then keeping that description steady through a year that will test it. The second is announcement management, the ordering of earnings, financings, leadership changes, and transactions, so that each one lands as it was meant to and in the sequence that makes sense of it.</w:t>
      </w:r>
    </w:p>
    <w:p>
      <w:r>
        <w:t>The third line is the slower work of reputation. In the quiet stretches we help a company build a store of trust, and on the harder days we help it spend that store carefully. Much of this happens well before it is visibly needed, so that a difficult question meets a considered answer instead of an improvised one.</w:t>
      </w:r>
    </w:p>
    <w:p>
      <w:pPr>
        <w:pStyle w:val="Heading2"/>
      </w:pPr>
      <w:r>
        <w:t>The companies we advise</w:t>
      </w:r>
    </w:p>
    <w:p>
      <w:r>
        <w:t>Our clients are mid-market companies, some already public and some working toward it, across a range of industries. What they share is less a sector than a moment: a result that surprised the market, a decision that will draw scrutiny, or a story that has begun to drift from the facts. We tend to be most useful when the stakes are high and no one in the room is quite sure what to say next.</w:t>
      </w:r>
    </w:p>
    <w:p>
      <w:pPr>
        <w:pStyle w:val="Heading2"/>
      </w:pPr>
      <w:r>
        <w:t>The way we work</w:t>
      </w:r>
    </w:p>
    <w:p>
      <w:r>
        <w:t>Our habits are plain and we hold to them. We take in the whole of a situation before advising on any part of it, we keep our own memos short, and we give a client our real opinion, including when it is the uncomfortable one. Plain speech saves time on both sides, and it tends to make the hard conversations shorter when they arrive.</w:t>
      </w:r>
    </w:p>
    <w:p>
      <w:r>
        <w:t>In practice that can mean preparing an executive for the pointed question no one wants asked on a live call, sequencing an announcement so the right people learn of it in the right order, or reading a company's own drafts the way an outsider will and saying plainly where they are likely to be misread.</w:t>
      </w:r>
    </w:p>
    <w:p>
      <w:pPr>
        <w:pStyle w:val="Heading2"/>
      </w:pPr>
      <w:r>
        <w:t>A few engagements</w:t>
      </w:r>
    </w:p>
    <w:p>
      <w:r>
        <w:t>A handful of engagements gives a fair sense of the range, though they are only a sample of our work and not an account of the whole. For Barrera Group, we led a corporate positioning effort, settling how the company described itself and holding that language steady through a demanding year. For Castaneda, Adams and Davis, we ran an investor relations program, coordinating the timing and message of a run of announcements so that each one supported the ones on either side of it.</w:t>
      </w:r>
    </w:p>
    <w:p>
      <w:r>
        <w:t>More recently, we advised Lee, Rice and Adams through a period of heightened scrutiny, preparing the difficult answers before they were needed and keeping the company's voice consistent across everyone who spoke for it. For Kirby-Taylor, we shaped the story the company carried into a significant announcement and sequenced the disclosure so that the right audiences heard it in the right order. We offer these as illustrations of how we work, not as a full account of the clients we serve.</w:t>
      </w:r>
    </w:p>
    <w:p>
      <w:pPr>
        <w:pStyle w:val="Heading2"/>
      </w:pPr>
      <w:r>
        <w:t>How the firm is set up</w:t>
      </w:r>
    </w:p>
    <w:p>
      <w:r>
        <w:t>We keep the firm deliberately small. A managing partner and a bench of advisors and analysts each carry a few relationships at a time, supported by an operations team that keeps the calendar, the files, and the mailbox in order. Most engagements open with a signed letter and a brief kickoff memo before settling into the daily traffic of email, where the drafting, the routing, and the approvals actually happen.</w:t>
      </w:r>
    </w:p>
    <w:p>
      <w:r>
        <w:t>That shape is deliberate, because it keeps us close to the detail of a client's correspondence, which is where most of the judgment lives. A firm our size can give a management team a partner's attention on the messages that matter, rather than passing the sensitive ones down a long chain.</w:t>
      </w:r>
    </w:p>
    <w:p>
      <w:pPr>
        <w:pStyle w:val="Heading2"/>
      </w:pPr>
      <w:r>
        <w:t>Speaking with us</w:t>
      </w:r>
    </w:p>
    <w:p>
      <w:r>
        <w:t>If any of this speaks to something your company is weighing, the most useful first step is a short conversation before the matter turns urgent. Please write to Julie Hill, our Managing Partner, and we will make the time to talk it through.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Hill</dc:creator>
  <cp:keywords/>
  <dc:description>generated by python-docx</dc:description>
  <cp:lastModifiedBy>Julie Hill</cp:lastModifiedBy>
  <cp:revision>1</cp:revision>
  <dcterms:created xsi:type="dcterms:W3CDTF">2023-03-16T09:00:00Z</dcterms:created>
  <dcterms:modified xsi:type="dcterms:W3CDTF">2023-03-16T09:00:00Z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