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v2 -- superseded; retained for reference</w:t>
      </w:r>
    </w:p>
    <w:p>
      <w:pPr>
        <w:pStyle w:val="Heading1"/>
      </w:pPr>
      <w:r>
        <w:t>Kickoff Memo: Investor Relations Program for Castaneda, Adams and Davis</w:t>
      </w:r>
    </w:p>
    <w:p>
      <w:r>
        <w:t>To: Laura Bradley, Michelle Black</w:t>
        <w:br/>
        <w:t>From: Michael Morris</w:t>
        <w:br/>
        <w:t>Re: Objectives, division of the work, and the first assignments</w:t>
      </w:r>
    </w:p>
    <w:p>
      <w:pPr>
        <w:pStyle w:val="Heading2"/>
      </w:pPr>
      <w:r>
        <w:t>What we have been asked to deliver</w:t>
      </w:r>
    </w:p>
    <w:p>
      <w:r>
        <w:t>Our engagement with Castaneda, Adams and Davis formally began on July 6, 2018, and its purpose is to build an investor relations program the company can eventually run on its own, with Lauren Heath, the Chief Operating Officer, as our sponsor and the single route through which every approval will pass. Over roughly nine months the company should come away with three things: a narrative its management can deliver the same way in every setting, an accurate picture of who owns the stock today and who ought to, and a calendar, set of materials, and approval routine that keep working after we step back.</w:t>
      </w:r>
    </w:p>
    <w:p>
      <w:pPr>
        <w:pStyle w:val="Heading2"/>
      </w:pPr>
      <w:r>
        <w:t>How the work divides</w:t>
      </w:r>
    </w:p>
    <w:p>
      <w:r>
        <w:t>The work falls into four strands, and although they overlap, each has one of us responsible for it so that Lauren always knows whom to ask:</w:t>
      </w:r>
    </w:p>
    <w:p>
      <w:pPr>
        <w:pStyle w:val="ListBullet"/>
      </w:pPr>
      <w:r>
        <w:t>Shareholder and coverage baseline, led by Michelle Black: the current register, how ownership has moved over the last couple of years, and which analysts cover the company or have stopped covering it, so that we know who we are talking to before we decide what to say.</w:t>
      </w:r>
    </w:p>
    <w:p>
      <w:pPr>
        <w:pStyle w:val="ListBullet"/>
      </w:pPr>
      <w:r>
        <w:t>Perception interviews, led by Laura Bradley with Michelle Black: confidential conversations with a selection of holders and analysts, conducted in the company's name with its approval and written up without attribution.</w:t>
      </w:r>
    </w:p>
    <w:p>
      <w:pPr>
        <w:pStyle w:val="ListBullet"/>
      </w:pPr>
      <w:r>
        <w:t>Investment narrative, led by me with Laura Bradley: the core account of the business that management gives, drafted with Lauren Heath and then tested against what the interviews tell us.</w:t>
      </w:r>
    </w:p>
    <w:p>
      <w:pPr>
        <w:pStyle w:val="ListBullet"/>
      </w:pPr>
      <w:r>
        <w:t>Calendar, materials, and approvals, led by Laura Bradley: the quarterly results routine, the investor presentation, the investor section of the website, and a written process for who signs off on what before anything goes out.</w:t>
      </w:r>
    </w:p>
    <w:p>
      <w:r>
        <w:t>The strands are not equal in weight at the start: for the first month most of our time will go into the baseline and the interviews, because the narrative depends on both, and the calendar and materials strand will mostly wait until we have something worth putting into a presentation.</w:t>
      </w:r>
    </w:p>
    <w:p>
      <w:pPr>
        <w:pStyle w:val="Heading2"/>
      </w:pPr>
      <w:r>
        <w:t>The order of the first assignments</w:t>
      </w:r>
    </w:p>
    <w:p>
      <w:r>
        <w:t>The first working session with Lauren is not fixed yet, so for the next few weeks the sequence matters more than the calendar, and I would like us to work in this order: (1) Laura sends Lauren our information request this week, asking for the latest shareholder register or ownership report, the past year of results materials, and any investor feedback the company has collected itself; (2) Michelle starts the baseline from public filings and published coverage while we wait for the register, so that nobody is idle; (3) Laura drafts the interview guide and a proposed list of interviewees, which Lauren has to approve because we will be calling people on the company's behalf; and (4) I draft a first outline of the narrative from what we already have, on the understanding that the interviews will change it.</w:t>
      </w:r>
    </w:p>
    <w:p>
      <w:pPr>
        <w:pStyle w:val="Heading2"/>
      </w:pPr>
      <w:r>
        <w:t>Versions and approvals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Investor Relations Program for Castaneda, Adams and Davis (v2)</dc:title>
  <dc:subject/>
  <dc:creator>Michael Morris</dc:creator>
  <cp:keywords/>
  <dc:description>generated by python-docx</dc:description>
  <cp:lastModifiedBy>Michael Morris</cp:lastModifiedBy>
  <cp:revision>1</cp:revision>
  <dcterms:created xsi:type="dcterms:W3CDTF">2018-07-01T09:00:00Z</dcterms:created>
  <dcterms:modified xsi:type="dcterms:W3CDTF">2018-07-01T09:00:00Z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