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Investor Relations Program for Castaneda, Adams and Davis</w:t>
      </w:r>
    </w:p>
    <w:p>
      <w:r>
        <w:t>Prepared by Michael Morris, with Laura Bradley and Michelle Black, for the management team of Castaneda, Adams and Davis.</w:t>
      </w:r>
    </w:p>
    <w:p>
      <w:pPr>
        <w:pStyle w:val="Heading2"/>
      </w:pPr>
      <w:r>
        <w:t>Where the program stands</w:t>
      </w:r>
    </w:p>
    <w:p>
      <w:r>
        <w:t>We are at about the halfway point of the program, and the work has moved from research into use, which is the shift we planned for when the engagement began: the perception interviews are complete, the investment narrative is agreed in draft, and management has rehearsed it and used the new margin language in public on the most recent results call.</w:t>
      </w:r>
    </w:p>
    <w:p>
      <w:r>
        <w:t>The interviews confirmed what the early baseline suggested, that holders who know the company well trust its management but want the business explained the same way every quarter, and nearly all of the work since the last report has been aimed at closing that gap.</w:t>
      </w:r>
    </w:p>
    <w:p>
      <w:r>
        <w:t>The main work still ahead is outreach to investors who do not yet own the stock, together with the calendar and approval routine that the company will keep running after we finish, and both are on track to begin this month.</w:t>
      </w:r>
    </w:p>
    <w:p>
      <w:pPr>
        <w:pStyle w:val="Heading2"/>
      </w:pPr>
      <w:r>
        <w:t>Completed this period</w:t>
      </w:r>
    </w:p>
    <w:p>
      <w:r>
        <w:t>Since the last report the team has closed out the following items, listed in the order they were finished: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Item</w:t>
            </w:r>
          </w:p>
        </w:tc>
        <w:tc>
          <w:tcPr>
            <w:tcW w:type="dxa" w:w="2160"/>
          </w:tcPr>
          <w:p>
            <w:r>
              <w:rPr>
                <w:b/>
              </w:rPr>
              <w:t>Lead</w:t>
            </w:r>
          </w:p>
        </w:tc>
        <w:tc>
          <w:tcPr>
            <w:tcW w:type="dxa" w:w="2160"/>
          </w:tcPr>
          <w:p>
            <w:r>
              <w:rPr>
                <w:b/>
              </w:rPr>
              <w:t>Note</w:t>
            </w:r>
          </w:p>
        </w:tc>
      </w:tr>
      <w:tr>
        <w:tc>
          <w:tcPr>
            <w:tcW w:type="dxa" w:w="2160"/>
          </w:tcPr>
          <w:p>
            <w:r>
              <w:t>1</w:t>
            </w:r>
          </w:p>
        </w:tc>
        <w:tc>
          <w:tcPr>
            <w:tcW w:type="dxa" w:w="2160"/>
          </w:tcPr>
          <w:p>
            <w:r>
              <w:t>Perception interviews written up without attribution</w:t>
            </w:r>
          </w:p>
        </w:tc>
        <w:tc>
          <w:tcPr>
            <w:tcW w:type="dxa" w:w="2160"/>
          </w:tcPr>
          <w:p>
            <w:r>
              <w:t>Laura Bradley</w:t>
            </w:r>
          </w:p>
        </w:tc>
        <w:tc>
          <w:tcPr>
            <w:tcW w:type="dxa" w:w="2160"/>
          </w:tcPr>
          <w:p>
            <w:r>
              <w:t>Summary with management; findings discussed at the working session</w:t>
            </w:r>
          </w:p>
        </w:tc>
      </w:tr>
      <w:tr>
        <w:tc>
          <w:tcPr>
            <w:tcW w:type="dxa" w:w="2160"/>
          </w:tcPr>
          <w:p>
            <w:r>
              <w:t>2</w:t>
            </w:r>
          </w:p>
        </w:tc>
        <w:tc>
          <w:tcPr>
            <w:tcW w:type="dxa" w:w="2160"/>
          </w:tcPr>
          <w:p>
            <w:r>
              <w:t>Investment narrative revised for management's comments</w:t>
            </w:r>
          </w:p>
        </w:tc>
        <w:tc>
          <w:tcPr>
            <w:tcW w:type="dxa" w:w="2160"/>
          </w:tcPr>
          <w:p>
            <w:r>
              <w:t>Michael Morris</w:t>
            </w:r>
          </w:p>
        </w:tc>
        <w:tc>
          <w:tcPr>
            <w:tcW w:type="dxa" w:w="2160"/>
          </w:tcPr>
          <w:p>
            <w:r>
              <w:t>One description of margins and capital spending now used in every document</w:t>
            </w:r>
          </w:p>
        </w:tc>
      </w:tr>
      <w:tr>
        <w:tc>
          <w:tcPr>
            <w:tcW w:type="dxa" w:w="2160"/>
          </w:tcPr>
          <w:p>
            <w:r>
              <w:t>3</w:t>
            </w:r>
          </w:p>
        </w:tc>
        <w:tc>
          <w:tcPr>
            <w:tcW w:type="dxa" w:w="2160"/>
          </w:tcPr>
          <w:p>
            <w:r>
              <w:t>Results script and likely questions</w:t>
            </w:r>
          </w:p>
        </w:tc>
        <w:tc>
          <w:tcPr>
            <w:tcW w:type="dxa" w:w="2160"/>
          </w:tcPr>
          <w:p>
            <w:r>
              <w:t>Michael Morris</w:t>
            </w:r>
          </w:p>
        </w:tc>
        <w:tc>
          <w:tcPr>
            <w:tcW w:type="dxa" w:w="2160"/>
          </w:tcPr>
          <w:p>
            <w:r>
              <w:t>Rehearsed with management ahead of the call</w:t>
            </w:r>
          </w:p>
        </w:tc>
      </w:tr>
      <w:tr>
        <w:tc>
          <w:tcPr>
            <w:tcW w:type="dxa" w:w="2160"/>
          </w:tcPr>
          <w:p>
            <w:r>
              <w:t>4</w:t>
            </w:r>
          </w:p>
        </w:tc>
        <w:tc>
          <w:tcPr>
            <w:tcW w:type="dxa" w:w="2160"/>
          </w:tcPr>
          <w:p>
            <w:r>
              <w:t>Investor targeting shortlist</w:t>
            </w:r>
          </w:p>
        </w:tc>
        <w:tc>
          <w:tcPr>
            <w:tcW w:type="dxa" w:w="2160"/>
          </w:tcPr>
          <w:p>
            <w:r>
              <w:t>Laura Bradley</w:t>
            </w:r>
          </w:p>
        </w:tc>
        <w:tc>
          <w:tcPr>
            <w:tcW w:type="dxa" w:w="2160"/>
          </w:tcPr>
          <w:p>
            <w:r>
              <w:t>Limited to funds that own comparable companies but not this one</w:t>
            </w:r>
          </w:p>
        </w:tc>
      </w:tr>
      <w:tr>
        <w:tc>
          <w:tcPr>
            <w:tcW w:type="dxa" w:w="2160"/>
          </w:tcPr>
          <w:p>
            <w:r>
              <w:t>5</w:t>
            </w:r>
          </w:p>
        </w:tc>
        <w:tc>
          <w:tcPr>
            <w:tcW w:type="dxa" w:w="2160"/>
          </w:tcPr>
          <w:p>
            <w:r>
              <w:t>Fund profiles and coverage monitoring</w:t>
            </w:r>
          </w:p>
        </w:tc>
        <w:tc>
          <w:tcPr>
            <w:tcW w:type="dxa" w:w="2160"/>
          </w:tcPr>
          <w:p>
            <w:r>
              <w:t>Michelle Black</w:t>
            </w:r>
          </w:p>
        </w:tc>
        <w:tc>
          <w:tcPr>
            <w:tcW w:type="dxa" w:w="2160"/>
          </w:tcPr>
          <w:p>
            <w:r>
              <w:t>One-page profile for each shortlisted fund; post-results coverage summary circulated</w:t>
            </w:r>
          </w:p>
        </w:tc>
      </w:tr>
    </w:tbl>
    <w:p>
      <w:pPr>
        <w:pStyle w:val="Heading2"/>
      </w:pPr>
      <w:r>
        <w:t>Planned for the coming period</w:t>
      </w:r>
    </w:p>
    <w:p>
      <w:r>
        <w:t>The narrative is now stable enough to take outside the company, so the next period is about putting it in front of new investors while keeping existing holders informed, and over the coming weeks we expect to: (1) begin approaches to the shortlisted funds, starting with those that already own several of the companies in Michelle Black's peer benchmarking; (2) finish the investor presentation and the investor section of the website so that both carry the agreed narrative in the same words where it matters; (3) put the written approval routine in front of management for sign-off, so that every external document has a named approver; and (4) offer the covering analysts a short briefing with management between quarters, which the interviews told us they would value.</w:t>
      </w:r>
    </w:p>
    <w:p>
      <w:r>
        <w:t>Michael Morris remains the first contact for anything time-sensitive during this period, and the weekly status note will continue to go out on the usual day, with Laura Bradley's list of open items attached.</w:t>
      </w:r>
    </w:p>
    <w:p>
      <w:pPr>
        <w:pStyle w:val="Heading2"/>
      </w:pPr>
      <w:r>
        <w:t>Budget</w:t>
      </w:r>
    </w:p>
    <w:p>
      <w:r>
        <w:t>The engagement budget is the fixed professional fee of $47,000 set out in the engagement letter, and the work completed to date sits within the share of that fee we planned for the first half of the program. The remaining work is covered by the same fee, and out-of-pocket expenses so far have been limited to items management approved in advance.</w:t>
      </w:r>
    </w:p>
    <w:p>
      <w:r>
        <w:t>If the company decides to add a non-deal roadshow or a dedicated investor event, the travel and venue costs would be billed as expenses outside the fee, and we would set them out for approval before committing to anything.</w:t>
      </w:r>
    </w:p>
    <w:p>
      <w:pPr>
        <w:pStyle w:val="Heading2"/>
      </w:pPr>
      <w:r>
        <w:t>Risks and open decisions</w:t>
      </w:r>
    </w:p>
    <w:p>
      <w:r>
        <w:t>Most of the risk at this stage concerns consistency and timing, not content, and each item below is set out with what we propose to do about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Risk or decision</w:t>
            </w:r>
          </w:p>
        </w:tc>
        <w:tc>
          <w:tcPr>
            <w:tcW w:type="dxa" w:w="2880"/>
          </w:tcPr>
          <w:p>
            <w:r>
              <w:rPr>
                <w:b/>
              </w:rPr>
              <w:t>Why it matters</w:t>
            </w:r>
          </w:p>
        </w:tc>
        <w:tc>
          <w:tcPr>
            <w:tcW w:type="dxa" w:w="2880"/>
          </w:tcPr>
          <w:p>
            <w:r>
              <w:rPr>
                <w:b/>
              </w:rPr>
              <w:t>What we propose</w:t>
            </w:r>
          </w:p>
        </w:tc>
      </w:tr>
      <w:tr>
        <w:tc>
          <w:tcPr>
            <w:tcW w:type="dxa" w:w="2880"/>
          </w:tcPr>
          <w:p>
            <w:r>
              <w:t>Different speakers describing the business in different terms</w:t>
            </w:r>
          </w:p>
        </w:tc>
        <w:tc>
          <w:tcPr>
            <w:tcW w:type="dxa" w:w="2880"/>
          </w:tcPr>
          <w:p>
            <w:r>
              <w:t>Analysts compare what they hear on calls with what they hear in meetings, and a gap undercuts the narrative</w:t>
            </w:r>
          </w:p>
        </w:tc>
        <w:tc>
          <w:tcPr>
            <w:tcW w:type="dxa" w:w="2880"/>
          </w:tcPr>
          <w:p>
            <w:r>
              <w:t>A one-page message sheet for each member of management who speaks to investors, and a review of every presentation before it is given</w:t>
            </w:r>
          </w:p>
        </w:tc>
      </w:tr>
      <w:tr>
        <w:tc>
          <w:tcPr>
            <w:tcW w:type="dxa" w:w="2880"/>
          </w:tcPr>
          <w:p>
            <w:r>
              <w:t>Outreach starting before management is ready</w:t>
            </w:r>
          </w:p>
        </w:tc>
        <w:tc>
          <w:tcPr>
            <w:tcW w:type="dxa" w:w="2880"/>
          </w:tcPr>
          <w:p>
            <w:r>
              <w:t>A first meeting with a new fund is hard to repeat if it goes poorly</w:t>
            </w:r>
          </w:p>
        </w:tc>
        <w:tc>
          <w:tcPr>
            <w:tcW w:type="dxa" w:w="2880"/>
          </w:tcPr>
          <w:p>
            <w:r>
              <w:t>Approaches begin only after management has signed off the narrative and the presentation</w:t>
            </w:r>
          </w:p>
        </w:tc>
      </w:tr>
      <w:tr>
        <w:tc>
          <w:tcPr>
            <w:tcW w:type="dxa" w:w="2880"/>
          </w:tcPr>
          <w:p>
            <w:r>
              <w:t>Decision on a roadshow or investor event</w:t>
            </w:r>
          </w:p>
        </w:tc>
        <w:tc>
          <w:tcPr>
            <w:tcW w:type="dxa" w:w="2880"/>
          </w:tcPr>
          <w:p>
            <w:r>
              <w:t>Either needs several weeks of lead time and an expense decision</w:t>
            </w:r>
          </w:p>
        </w:tc>
        <w:tc>
          <w:tcPr>
            <w:tcW w:type="dxa" w:w="2880"/>
          </w:tcPr>
          <w:p>
            <w:r>
              <w:t>A decision from management at the next working session</w:t>
            </w:r>
          </w:p>
        </w:tc>
      </w:tr>
      <w:tr>
        <w:tc>
          <w:tcPr>
            <w:tcW w:type="dxa" w:w="2880"/>
          </w:tcPr>
          <w:p>
            <w:r>
              <w:t>Thin analyst coverage</w:t>
            </w:r>
          </w:p>
        </w:tc>
        <w:tc>
          <w:tcPr>
            <w:tcW w:type="dxa" w:w="2880"/>
          </w:tcPr>
          <w:p>
            <w:r>
              <w:t>With few published views, any single note carries more weight with holders</w:t>
            </w:r>
          </w:p>
        </w:tc>
        <w:tc>
          <w:tcPr>
            <w:tcW w:type="dxa" w:w="2880"/>
          </w:tcPr>
          <w:p>
            <w:r>
              <w:t>Continued monitoring by Michelle Black, and the between-quarter briefings described above</w:t>
            </w:r>
          </w:p>
        </w:tc>
      </w:tr>
    </w:tbl>
    <w:p>
      <w:r>
        <w:t>The one decision we need from management before the next report is whether to include a roadshow or investor event in the second half, because that choice sets the calendar for most of what follows, and Laura Bradley will circulate a short note on the options this week so that the discussion can be brief.</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Investor Relations Program for Castaneda, Adams and Davis</dc:title>
  <dc:subject/>
  <dc:creator>Michael Morris</dc:creator>
  <cp:keywords/>
  <dc:description>generated by python-docx</dc:description>
  <cp:lastModifiedBy>Michael Morris</cp:lastModifiedBy>
  <cp:revision>1</cp:revision>
  <dcterms:created xsi:type="dcterms:W3CDTF">2018-11-14T09:00:00Z</dcterms:created>
  <dcterms:modified xsi:type="dcterms:W3CDTF">2018-11-14T09:00:00Z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