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Investor Relations Program, Castaneda, Adams and Davis</w:t>
      </w:r>
    </w:p>
    <w:p>
      <w:r>
        <w:t>A working session at about the halfway point of the program. Notes taken by Michelle Black. Our thanks to Lauren for making the time at a busy point in the quarter.</w:t>
      </w:r>
    </w:p>
    <w:p>
      <w:pPr>
        <w:pStyle w:val="Heading2"/>
      </w:pPr>
      <w:r>
        <w:t>Present</w:t>
      </w:r>
    </w:p>
    <w:p>
      <w:pPr>
        <w:pStyle w:val="ListBullet"/>
      </w:pPr>
      <w:r>
        <w:t>Lauren Heath, Chief Operating Officer, Castaneda, Adams and Davis</w:t>
      </w:r>
    </w:p>
    <w:p>
      <w:pPr>
        <w:pStyle w:val="ListBullet"/>
      </w:pPr>
      <w:r>
        <w:t>Michael Morris, Partner</w:t>
      </w:r>
    </w:p>
    <w:p>
      <w:pPr>
        <w:pStyle w:val="ListBullet"/>
      </w:pPr>
      <w:r>
        <w:t>Laura Bradley, Senior Associate</w:t>
      </w:r>
    </w:p>
    <w:p>
      <w:pPr>
        <w:pStyle w:val="ListBullet"/>
      </w:pPr>
      <w:r>
        <w:t>Michelle Black, Communications Analyst (notes)</w:t>
      </w:r>
    </w:p>
    <w:p>
      <w:pPr>
        <w:pStyle w:val="Heading2"/>
      </w:pPr>
      <w:r>
        <w:t>Interview findings</w:t>
      </w:r>
    </w:p>
    <w:p>
      <w:r>
        <w:t>Laura confirmed that the perception interviews are complete. The written summary went to Lauren without attribution, as we agreed at the start. Lauren said the findings match what she hears informally from holders. We will fold the remaining points into the narrative.</w:t>
      </w:r>
    </w:p>
    <w:p>
      <w:pPr>
        <w:pStyle w:val="Heading2"/>
      </w:pPr>
      <w:r>
        <w:t>The narrative</w:t>
      </w:r>
    </w:p>
    <w:p>
      <w:r>
        <w:t>Mike opened with the revised investment narrative. Lauren had shared it with her management colleagues before the session. Their comments were about emphasis, not substance. We were glad to hear it, because the structure has held up well through the interviews.</w:t>
      </w:r>
    </w:p>
    <w:p>
      <w:r>
        <w:t>Margins took most of the discussion. Lauren asked that we use one description of margins everywhere, including the results script and the investor presentation. Everyone agreed. Laura Bradley will carry the change through each draft so the versions stay in step.</w:t>
      </w:r>
    </w:p>
    <w:p>
      <w:r>
        <w:t>Capital spending came up briefly. Lauren would like it described alongside margins, not on a page of its own. Mike agreed and will reflect that in the next draft.</w:t>
      </w:r>
    </w:p>
    <w:p>
      <w:pPr>
        <w:pStyle w:val="Heading2"/>
      </w:pPr>
      <w:r>
        <w:t>Outreach to new investors</w:t>
      </w:r>
    </w:p>
    <w:p>
      <w:r>
        <w:t>Laura took us through the targeting shortlist. It is made up of funds that own comparable companies but not this one. Lauren is comfortable with us approaching them once the narrative is final. She asked that nothing go out before management has rehearsed it. We think that is the right order, too. I will prepare a short profile of each fund so management knows who they will be meeting.</w:t>
      </w:r>
    </w:p>
    <w:p>
      <w:pPr>
        <w:pStyle w:val="Heading2"/>
      </w:pPr>
      <w:r>
        <w:t>Website and materials</w:t>
      </w:r>
    </w:p>
    <w:p>
      <w:r>
        <w:t>We spent a few minutes on the investor section of the website. Lauren agreed it should carry the same narrative as the presentation. Laura will send a marked-up version of the current pages. Nothing changes on the site until management has rehearsed the new language.</w:t>
      </w:r>
    </w:p>
    <w:p>
      <w:pPr>
        <w:pStyle w:val="Heading2"/>
      </w:pPr>
      <w:r>
        <w:t>Results preparation</w:t>
      </w:r>
    </w:p>
    <w:p>
      <w:r>
        <w:t>The next results call will be the first real test of the narrative. Mike will draft the script and a set of likely questions. He and Laura will then run a rehearsal with management. Lauren will find a time that suits her team.</w:t>
      </w:r>
    </w:p>
    <w:p>
      <w:pPr>
        <w:pStyle w:val="Heading2"/>
      </w:pPr>
      <w:r>
        <w:t>Coverage</w:t>
      </w:r>
    </w:p>
    <w:p>
      <w:r>
        <w:t>I shared the latest coverage summary. Nothing in recent coverage needs a response from the company. One recent analyst note repeated the older margin framing, which supports the change Lauren asked for. We will watch for it again after results.</w:t>
      </w:r>
    </w:p>
    <w:p>
      <w:pPr>
        <w:pStyle w:val="Heading2"/>
      </w:pPr>
      <w:r>
        <w:t>Agreed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Timing</w:t>
            </w:r>
          </w:p>
        </w:tc>
      </w:tr>
      <w:tr>
        <w:tc>
          <w:tcPr>
            <w:tcW w:type="dxa" w:w="2880"/>
          </w:tcPr>
          <w:p>
            <w:r>
              <w:t>Carry the agreed margin language into the narrative, the investor presentation, and the results script</w:t>
            </w:r>
          </w:p>
        </w:tc>
        <w:tc>
          <w:tcPr>
            <w:tcW w:type="dxa" w:w="2880"/>
          </w:tcPr>
          <w:p>
            <w:r>
              <w:t>Laura Bradley</w:t>
            </w:r>
          </w:p>
        </w:tc>
        <w:tc>
          <w:tcPr>
            <w:tcW w:type="dxa" w:w="2880"/>
          </w:tcPr>
          <w:p>
            <w:r>
              <w:t>Before the next draft circulates</w:t>
            </w:r>
          </w:p>
        </w:tc>
      </w:tr>
      <w:tr>
        <w:tc>
          <w:tcPr>
            <w:tcW w:type="dxa" w:w="2880"/>
          </w:tcPr>
          <w:p>
            <w:r>
              <w:t>Draft the results script and likely questions</w:t>
            </w:r>
          </w:p>
        </w:tc>
        <w:tc>
          <w:tcPr>
            <w:tcW w:type="dxa" w:w="2880"/>
          </w:tcPr>
          <w:p>
            <w:r>
              <w:t>Michael Morris</w:t>
            </w:r>
          </w:p>
        </w:tc>
        <w:tc>
          <w:tcPr>
            <w:tcW w:type="dxa" w:w="2880"/>
          </w:tcPr>
          <w:p>
            <w:r>
              <w:t>Ahead of the rehearsal</w:t>
            </w:r>
          </w:p>
        </w:tc>
      </w:tr>
      <w:tr>
        <w:tc>
          <w:tcPr>
            <w:tcW w:type="dxa" w:w="2880"/>
          </w:tcPr>
          <w:p>
            <w:r>
              <w:t>Prepare a one-page profile of each fund on the shortlist</w:t>
            </w:r>
          </w:p>
        </w:tc>
        <w:tc>
          <w:tcPr>
            <w:tcW w:type="dxa" w:w="2880"/>
          </w:tcPr>
          <w:p>
            <w:r>
              <w:t>Michelle Black</w:t>
            </w:r>
          </w:p>
        </w:tc>
        <w:tc>
          <w:tcPr>
            <w:tcW w:type="dxa" w:w="2880"/>
          </w:tcPr>
          <w:p>
            <w:r>
              <w:t>This week</w:t>
            </w:r>
          </w:p>
        </w:tc>
      </w:tr>
      <w:tr>
        <w:tc>
          <w:tcPr>
            <w:tcW w:type="dxa" w:w="2880"/>
          </w:tcPr>
          <w:p>
            <w:r>
              <w:t>Send a marked-up version of the investor pages of the website</w:t>
            </w:r>
          </w:p>
        </w:tc>
        <w:tc>
          <w:tcPr>
            <w:tcW w:type="dxa" w:w="2880"/>
          </w:tcPr>
          <w:p>
            <w:r>
              <w:t>Laura Bradley</w:t>
            </w:r>
          </w:p>
        </w:tc>
        <w:tc>
          <w:tcPr>
            <w:tcW w:type="dxa" w:w="2880"/>
          </w:tcPr>
          <w:p>
            <w:r>
              <w:t>Next week</w:t>
            </w:r>
          </w:p>
        </w:tc>
      </w:tr>
      <w:tr>
        <w:tc>
          <w:tcPr>
            <w:tcW w:type="dxa" w:w="2880"/>
          </w:tcPr>
          <w:p>
            <w:r>
              <w:t>Confirm a rehearsal time with management</w:t>
            </w:r>
          </w:p>
        </w:tc>
        <w:tc>
          <w:tcPr>
            <w:tcW w:type="dxa" w:w="2880"/>
          </w:tcPr>
          <w:p>
            <w:r>
              <w:t>Lauren Heath</w:t>
            </w:r>
          </w:p>
        </w:tc>
        <w:tc>
          <w:tcPr>
            <w:tcW w:type="dxa" w:w="2880"/>
          </w:tcPr>
          <w:p>
            <w:r>
              <w:t>Next week</w:t>
            </w:r>
          </w:p>
        </w:tc>
      </w:tr>
      <w:tr>
        <w:tc>
          <w:tcPr>
            <w:tcW w:type="dxa" w:w="2880"/>
          </w:tcPr>
          <w:p>
            <w:r>
              <w:t>Circulate an updated coverage summary after results</w:t>
            </w:r>
          </w:p>
        </w:tc>
        <w:tc>
          <w:tcPr>
            <w:tcW w:type="dxa" w:w="2880"/>
          </w:tcPr>
          <w:p>
            <w:r>
              <w:t>Michelle Black</w:t>
            </w:r>
          </w:p>
        </w:tc>
        <w:tc>
          <w:tcPr>
            <w:tcW w:type="dxa" w:w="2880"/>
          </w:tcPr>
          <w:p>
            <w:r>
              <w:t>After the call</w:t>
            </w:r>
          </w:p>
        </w:tc>
      </w:tr>
    </w:tbl>
    <w:p>
      <w:r>
        <w:t>Our next step is the rehearsal. Once Lauren confirms a time, we will send her the draft script two working days ahead of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Investor Relations Program for Castaneda, Adams and Davis</dc:title>
  <dc:subject/>
  <dc:creator>Michelle Black</dc:creator>
  <cp:keywords/>
  <dc:description>generated by python-docx</dc:description>
  <cp:lastModifiedBy>Michelle Black</cp:lastModifiedBy>
  <cp:revision>1</cp:revision>
  <dcterms:created xsi:type="dcterms:W3CDTF">2018-10-18T09:00:00Z</dcterms:created>
  <dcterms:modified xsi:type="dcterms:W3CDTF">2018-10-18T09:00:00Z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