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Reputation Audit for Gallegos, Pope and Marsh</w:t>
      </w:r>
    </w:p>
    <w:p>
      <w:r>
        <w:t>Prepared by Michelle Rose, Communications Associate, with Kimberly Le and Julie Hill of Ashcombe Advisory Partners.</w:t>
      </w:r>
    </w:p>
    <w:p>
      <w:pPr>
        <w:pStyle w:val="Heading2"/>
      </w:pPr>
      <w:r>
        <w:t>Where the audit stands</w:t>
      </w:r>
    </w:p>
    <w:p>
      <w:r>
        <w:t>The audit has reached its midpoint on schedule and within scope. The coverage review is complete, and so are the leadership interviews. More than half of the investor conversations have been held, and the conversations with reporters are under way. We have started to bring the material together, and nothing we have heard so far calls for a change to the plan.</w:t>
      </w:r>
    </w:p>
    <w:p>
      <w:pPr>
        <w:pStyle w:val="Heading2"/>
      </w:pPr>
      <w:r>
        <w:t>Since the working session</w:t>
      </w:r>
    </w:p>
    <w:p>
      <w:r>
        <w:t>Kimberly Le finished the review of online and social coverage, and I finished print and trade. The picture we described at the working session has held. Coverage of Gallegos, Pope and Marsh is mostly neutral in tone and concentrates on financial announcements. There is little about the business itself, its customers, or the people who run it. Where the company does appear in a broader industry story, it is usually named in passing.</w:t>
      </w:r>
    </w:p>
    <w:p>
      <w:r>
        <w:t>Kimberly Le also sent you her note on the older articles that still rank highly in search results. It sets out the options, from leaving them alone to publishing newer material that will over time push them down. We will hold any recommendation on this until the findings are complete, because the right answer depends on what investors tell us about how they first came across the company.</w:t>
      </w:r>
    </w:p>
    <w:p>
      <w:r>
        <w:t>Julie Hill completed the leadership interviews. The leadership team gives a consistent account of where the company is going and why, from one person to the next. That is useful to us. It suggests that whatever gap the audit finds will lie in how the strategy is explained to people outside the company.</w:t>
      </w:r>
    </w:p>
    <w:p>
      <w:r>
        <w:t>Julie Hill has also held most of the investor conversations, with Kimberly Le on each call to take notes. The question you asked us to add, on how investors would like to hear from the company between formal announcements, has been put in every conversation since the working session. The early pattern has held. Investors regard management as credible and find the financial reporting clear. Most of them find it harder to describe the company's longer-term direction, and a number said they hear from the company only around its formal announcements.</w:t>
      </w:r>
    </w:p>
    <w:p>
      <w:r>
        <w:t>I have spoken informally with several of the reporters who cover the company. They describe it as responsive when they call. They also say they rarely hear from it unprompted, and none could recall the company bringing them a story. That matches what investors are telling us, and we will treat the two as parts of the same finding.</w:t>
      </w:r>
    </w:p>
    <w:p>
      <w:pPr>
        <w:pStyle w:val="Heading2"/>
      </w:pPr>
      <w:r>
        <w:t>The coming weeks</w:t>
      </w:r>
    </w:p>
    <w:p>
      <w:r>
        <w:t>The remaining investor conversations are booked over the next two weeks, and I expect to finish the reporter conversations in the same period. Once both are done, Kimberly Le and I will draft a single findings document that draws together the coverage review, the leadership interviews, and the investor and reporter conversations. Julie Hill will review the draft before it comes to you.</w:t>
      </w:r>
    </w:p>
    <w:p>
      <w:r>
        <w:t>As agreed at the working session, the findings will come to you first and then go to the leadership team. Recommendations will follow the findings and will be built from them. We will not put recommendations in front of the leadership team until the findings have been discussed.</w:t>
      </w:r>
    </w:p>
    <w:p>
      <w:pPr>
        <w:pStyle w:val="Heading2"/>
      </w:pPr>
      <w:r>
        <w:t>Budget</w:t>
      </w:r>
    </w:p>
    <w:p>
      <w:r>
        <w:t>Work to date is in line with the engagement budget of $45,500, and the effort spent so far matches the plan. We do not expect to ask for any change to the budget or the scope. If the leadership readout leads to a request for further work, we will scope it separately and agree it with you before any of it starts.</w:t>
      </w:r>
    </w:p>
    <w:p>
      <w:pPr>
        <w:pStyle w:val="Heading2"/>
      </w:pPr>
      <w:r>
        <w:t>Points we are watching</w:t>
      </w:r>
    </w:p>
    <w:p>
      <w:r>
        <w:t>The investor sample is small by design. Its views are a strong indication, not a measurement, and we will say so plainly in the findings. We will also show which views were widely shared and which came from one or two people.</w:t>
      </w:r>
    </w:p>
    <w:p>
      <w:r>
        <w:t>A few investors on the list have not yet confirmed a time. If they have not done so by the time the other conversations are finished, we will close the interview period on schedule and record in the findings who was not reached.</w:t>
      </w:r>
    </w:p>
    <w:p>
      <w:r>
        <w:t>The finding on longer-term direction touches on how the leadership team describes its own strategy, and it needs careful handling. We will present it with the evidence behind it, in the investors' own words where we can, and it will reach you before anyone else sees it.</w:t>
      </w:r>
    </w:p>
    <w:p>
      <w:r>
        <w:t>The next step is the last of the investor conversations. I will write to you once it has been held, with proposed times for the first readout.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Reputation Audit for Gallegos, Pope and Marsh</dc:title>
  <dc:subject/>
  <dc:creator>Michelle Rose</dc:creator>
  <cp:keywords/>
  <dc:description>generated by python-docx</dc:description>
  <cp:lastModifiedBy>Michelle Rose</cp:lastModifiedBy>
  <cp:revision>1</cp:revision>
  <dcterms:created xsi:type="dcterms:W3CDTF">2024-04-10T09:00:00Z</dcterms:created>
  <dcterms:modified xsi:type="dcterms:W3CDTF">2024-04-10T09:00:00Z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