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Crisis Communications</w:t>
      </w:r>
    </w:p>
    <w:p>
      <w:r>
        <w:t>Prepared for the leadership of Lee, Rice and Adams</w:t>
        <w:br/>
        <w:t>Prepared by Amy Carter, Communications Associate, with Nancy Suarez, Communications Associate</w:t>
        <w:br/>
        <w:t>Reviewed by Julie Hill, Managing Partner</w:t>
      </w:r>
    </w:p>
    <w:p>
      <w:pPr>
        <w:pStyle w:val="Heading2"/>
      </w:pPr>
      <w:r>
        <w:t>Summary</w:t>
      </w:r>
    </w:p>
    <w:p>
      <w:r>
        <w:t>This report covers the period since our last working session and reflects the engagement at about its midpoint. The work is on plan: the acute phase of the response is behind us, and the emphasis has moved to showing customers and investors the progress of remediation.</w:t>
      </w:r>
    </w:p>
    <w:p>
      <w:r>
        <w:t>Inbound inquiries remain low and now concern almost entirely what has changed. No statement has been released without the agreed legal, finance and operations sign-offs.</w:t>
      </w:r>
    </w:p>
    <w:p>
      <w:r>
        <w:t>By the measures agreed at the outset, the response is holding. Approvals have met the agreed turnaround, no released statement has needed correction, and inbound questions have moved from what happened to what is being done.</w:t>
      </w:r>
    </w:p>
    <w:p>
      <w:pPr>
        <w:pStyle w:val="Heading2"/>
      </w:pPr>
      <w:r>
        <w:t>Status by area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Status</w:t>
            </w:r>
          </w:p>
        </w:tc>
        <w:tc>
          <w:tcPr>
            <w:tcW w:type="dxa" w:w="2880"/>
          </w:tcPr>
          <w:p>
            <w:r>
              <w:rPr>
                <w:b/>
              </w:rPr>
              <w:t>Comment</w:t>
            </w:r>
          </w:p>
        </w:tc>
      </w:tr>
      <w:tr>
        <w:tc>
          <w:tcPr>
            <w:tcW w:type="dxa" w:w="2880"/>
          </w:tcPr>
          <w:p>
            <w:r>
              <w:t>Holding statement and reactive Q&amp;A</w:t>
            </w:r>
          </w:p>
        </w:tc>
        <w:tc>
          <w:tcPr>
            <w:tcW w:type="dxa" w:w="2880"/>
          </w:tcPr>
          <w:p>
            <w:r>
              <w:t>Complete; maintained</w:t>
            </w:r>
          </w:p>
        </w:tc>
        <w:tc>
          <w:tcPr>
            <w:tcW w:type="dxa" w:w="2880"/>
          </w:tcPr>
          <w:p>
            <w:r>
              <w:t>Revised to lead with remediation; superseded answers retired in the log</w:t>
            </w:r>
          </w:p>
        </w:tc>
      </w:tr>
      <w:tr>
        <w:tc>
          <w:tcPr>
            <w:tcW w:type="dxa" w:w="2880"/>
          </w:tcPr>
          <w:p>
            <w:r>
              <w:t>Approval route</w:t>
            </w:r>
          </w:p>
        </w:tc>
        <w:tc>
          <w:tcPr>
            <w:tcW w:type="dxa" w:w="2880"/>
          </w:tcPr>
          <w:p>
            <w:r>
              <w:t>In place</w:t>
            </w:r>
          </w:p>
        </w:tc>
        <w:tc>
          <w:tcPr>
            <w:tcW w:type="dxa" w:w="2880"/>
          </w:tcPr>
          <w:p>
            <w:r>
              <w:t>Legal, finance and operations reviewers confirmed; agreed turnaround has held</w:t>
            </w:r>
          </w:p>
        </w:tc>
      </w:tr>
      <w:tr>
        <w:tc>
          <w:tcPr>
            <w:tcW w:type="dxa" w:w="2880"/>
          </w:tcPr>
          <w:p>
            <w:r>
              <w:t>Customer communications</w:t>
            </w:r>
          </w:p>
        </w:tc>
        <w:tc>
          <w:tcPr>
            <w:tcW w:type="dxa" w:w="2880"/>
          </w:tcPr>
          <w:p>
            <w:r>
              <w:t>On track</w:t>
            </w:r>
          </w:p>
        </w:tc>
        <w:tc>
          <w:tcPr>
            <w:tcW w:type="dxa" w:w="2880"/>
          </w:tcPr>
          <w:p>
            <w:r>
              <w:t>Remediation update released; next update in preparation</w:t>
            </w:r>
          </w:p>
        </w:tc>
      </w:tr>
      <w:tr>
        <w:tc>
          <w:tcPr>
            <w:tcW w:type="dxa" w:w="2880"/>
          </w:tcPr>
          <w:p>
            <w:r>
              <w:t>Investor communications</w:t>
            </w:r>
          </w:p>
        </w:tc>
        <w:tc>
          <w:tcPr>
            <w:tcW w:type="dxa" w:w="2880"/>
          </w:tcPr>
          <w:p>
            <w:r>
              <w:t>Complete for this period</w:t>
            </w:r>
          </w:p>
        </w:tc>
        <w:tc>
          <w:tcPr>
            <w:tcW w:type="dxa" w:w="2880"/>
          </w:tcPr>
          <w:p>
            <w:r>
              <w:t>Talking points finalized with finance and used in the quarterly investor update</w:t>
            </w:r>
          </w:p>
        </w:tc>
      </w:tr>
      <w:tr>
        <w:tc>
          <w:tcPr>
            <w:tcW w:type="dxa" w:w="2880"/>
          </w:tcPr>
          <w:p>
            <w:r>
              <w:t>Employee communications</w:t>
            </w:r>
          </w:p>
        </w:tc>
        <w:tc>
          <w:tcPr>
            <w:tcW w:type="dxa" w:w="2880"/>
          </w:tcPr>
          <w:p>
            <w:r>
              <w:t>On track</w:t>
            </w:r>
          </w:p>
        </w:tc>
        <w:tc>
          <w:tcPr>
            <w:tcW w:type="dxa" w:w="2880"/>
          </w:tcPr>
          <w:p>
            <w:r>
              <w:t>Next note in draft, for release at the Company’s timing</w:t>
            </w:r>
          </w:p>
        </w:tc>
      </w:tr>
      <w:tr>
        <w:tc>
          <w:tcPr>
            <w:tcW w:type="dxa" w:w="2880"/>
          </w:tcPr>
          <w:p>
            <w:r>
              <w:t>Spokesperson preparation</w:t>
            </w:r>
          </w:p>
        </w:tc>
        <w:tc>
          <w:tcPr>
            <w:tcW w:type="dxa" w:w="2880"/>
          </w:tcPr>
          <w:p>
            <w:r>
              <w:t>Scheduled</w:t>
            </w:r>
          </w:p>
        </w:tc>
        <w:tc>
          <w:tcPr>
            <w:tcW w:type="dxa" w:w="2880"/>
          </w:tcPr>
          <w:p>
            <w:r>
              <w:t>Refresher briefing to be held before the holiday period</w:t>
            </w:r>
          </w:p>
        </w:tc>
      </w:tr>
      <w:tr>
        <w:tc>
          <w:tcPr>
            <w:tcW w:type="dxa" w:w="2880"/>
          </w:tcPr>
          <w:p>
            <w:r>
              <w:t>Inquiry log</w:t>
            </w:r>
          </w:p>
        </w:tc>
        <w:tc>
          <w:tcPr>
            <w:tcW w:type="dxa" w:w="2880"/>
          </w:tcPr>
          <w:p>
            <w:r>
              <w:t>Steady</w:t>
            </w:r>
          </w:p>
        </w:tc>
        <w:tc>
          <w:tcPr>
            <w:tcW w:type="dxa" w:w="2880"/>
          </w:tcPr>
          <w:p>
            <w:r>
              <w:t>Reviewed by email between fortnightly calls</w:t>
            </w:r>
          </w:p>
        </w:tc>
      </w:tr>
    </w:tbl>
    <w:p>
      <w:pPr>
        <w:pStyle w:val="Heading2"/>
      </w:pPr>
      <w:r>
        <w:t>Completed this period</w:t>
      </w:r>
    </w:p>
    <w:p>
      <w:pPr>
        <w:pStyle w:val="ListBullet"/>
      </w:pPr>
      <w:r>
        <w:t>Released the customer update on remediation, after the operations team confirmed which milestones could be described as complete. Nancy Suarez managed distribution and confirmed delivery to each list.</w:t>
      </w:r>
    </w:p>
    <w:p>
      <w:pPr>
        <w:pStyle w:val="ListBullet"/>
      </w:pPr>
      <w:r>
        <w:t>Revised the reactive Q&amp;A so that each answer opens with what has changed, and marked superseded answers as retired in the inquiry log.</w:t>
      </w:r>
    </w:p>
    <w:p>
      <w:pPr>
        <w:pStyle w:val="ListBullet"/>
      </w:pPr>
      <w:r>
        <w:t>Finalized the investor talking points with your finance team and supported their use in the quarterly investor update.</w:t>
      </w:r>
    </w:p>
    <w:p>
      <w:pPr>
        <w:pStyle w:val="ListBullet"/>
      </w:pPr>
      <w:r>
        <w:t>Logged and answered each inbound inquiry from the approved language; none required a new statement.</w:t>
      </w:r>
    </w:p>
    <w:p>
      <w:pPr>
        <w:pStyle w:val="ListBullet"/>
      </w:pPr>
      <w:r>
        <w:t>Moved the standing call to a fortnightly cadence, with the inquiry log reviewed by email in between.</w:t>
      </w:r>
    </w:p>
    <w:p>
      <w:pPr>
        <w:pStyle w:val="Heading2"/>
      </w:pPr>
      <w:r>
        <w:t>Planned for the coming period</w:t>
      </w:r>
    </w:p>
    <w:p>
      <w:r>
        <w:t>The coming period carries fewer releases, each tied to a step the operations team has confirmed. In order, we expect to:</w:t>
      </w:r>
    </w:p>
    <w:p>
      <w:pPr>
        <w:pStyle w:val="ListBullet"/>
      </w:pPr>
      <w:r>
        <w:t>prepare the next customer update, timed to the next remediation milestone the operations team is ready to confirm;</w:t>
      </w:r>
    </w:p>
    <w:p>
      <w:pPr>
        <w:pStyle w:val="ListBullet"/>
      </w:pPr>
      <w:r>
        <w:t>draft an employee note recognizing the operations team’s work, for release when the Company judges it appropriate;</w:t>
      </w:r>
    </w:p>
    <w:p>
      <w:pPr>
        <w:pStyle w:val="ListBullet"/>
      </w:pPr>
      <w:r>
        <w:t>hold a refresher briefing for the designated spokespeople, using the current Q&amp;A; and</w:t>
      </w:r>
    </w:p>
    <w:p>
      <w:pPr>
        <w:pStyle w:val="ListBullet"/>
      </w:pPr>
      <w:r>
        <w:t>begin an outline of the post-incident communications review, to be completed in the later phase of the engagement.</w:t>
      </w:r>
    </w:p>
    <w:p>
      <w:pPr>
        <w:pStyle w:val="Heading2"/>
      </w:pPr>
      <w:r>
        <w:t>Risks and points to watch</w:t>
      </w:r>
    </w:p>
    <w:p>
      <w:r>
        <w:t>Overstatement. The likeliest way to lose ground at this stage is to describe a step as finished before operations has signed it off. Every draft will continue to carry the operations sign-off line, and Julie Hill will review investor-facing language before it reaches you.</w:t>
      </w:r>
    </w:p>
    <w:p>
      <w:r>
        <w:t>Renewed attention. A public customer complaint, or a comparable incident elsewhere in the industry, could bring media interest back quickly. The holding language and reactive Q&amp;A remain current, and Nancy Suarez can return the inquiry log to daily review at short notice.</w:t>
      </w:r>
    </w:p>
    <w:p>
      <w:r>
        <w:t>Approver availability. The holiday period will thin out the legal and finance reviewers on your side. Naming an alternate for each would let us keep the agreed turnaround if a statement is needed at short notice.</w:t>
      </w:r>
    </w:p>
    <w:p>
      <w:r>
        <w:t>Update fatigue. Customers who have read several updates may begin to skim them. We will keep each one short and open with the change that matters most to its reader.</w:t>
      </w:r>
    </w:p>
    <w:p>
      <w:pPr>
        <w:pStyle w:val="Heading2"/>
      </w:pPr>
      <w:r>
        <w:t>Points for the Company’s decision</w:t>
      </w:r>
    </w:p>
    <w:p>
      <w:r>
        <w:t>The sequencing of the next employee note is still open. We lean toward the note going out before the next customer update, consistent with the order used so far, but the timing is the Company’s to judge.</w:t>
      </w:r>
    </w:p>
    <w:p>
      <w:r>
        <w:t>We would also welcome your view on whether the post-incident review should cover the investor communications as well as the customer and employee work.</w:t>
      </w:r>
    </w:p>
    <w:p>
      <w:pPr>
        <w:pStyle w:val="Heading2"/>
      </w:pPr>
      <w:r>
        <w:t>Budget</w:t>
      </w:r>
    </w:p>
    <w:p>
      <w:r>
        <w:t>The engagement is billed at the fixed fee of $46,500, invoiced monthly as set out in the engagement letter. Work to date falls within the agreed scope, and we do not expect to request any change to the fee.</w:t>
      </w:r>
    </w:p>
    <w:p>
      <w:r>
        <w:t>Out-of-pocket expenses have been limited to wire distribution charges, each approved in advance.</w:t>
      </w:r>
    </w:p>
    <w:p>
      <w:r>
        <w:t>Our next report will follow the next customer update. In the meantime, I would be grateful for the names of the alternate approvers for the holiday period when convenient. Thank you, as ever, for the quick turnarounds on your side.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Crisis Communications for Lee, Rice and Adams</dc:title>
  <dc:subject/>
  <dc:creator>Amy Carter</dc:creator>
  <cp:keywords/>
  <dc:description>generated by python-docx</dc:description>
  <cp:lastModifiedBy>Amy Carter</cp:lastModifiedBy>
  <cp:revision>1</cp:revision>
  <dcterms:created xsi:type="dcterms:W3CDTF">2021-11-20T09:00:00Z</dcterms:created>
  <dcterms:modified xsi:type="dcterms:W3CDTF">2021-11-20T09:00:00Z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