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Ashcombe Advisory Partners LLC</w:t>
      </w:r>
    </w:p>
    <w:p>
      <w:r>
        <w:t>Ashcombe Advisory Partners advises mid-market public companies, and private companies preparing for a public listing, on corporate communications and investor relations. Our work concerns how a company explains itself to the audiences whose judgment matters most to it: investors and analysts, the financial and trade press, and its own employees.</w:t>
      </w:r>
    </w:p>
    <w:p>
      <w:r>
        <w:t>We are a small firm by design. The advisors a client meets at the outset are the ones who carry the work through, and we accept an engagement only where we can offer that continuity.</w:t>
      </w:r>
    </w:p>
    <w:p>
      <w:pPr>
        <w:pStyle w:val="Heading2"/>
      </w:pPr>
      <w:r>
        <w:t>The character of the practice</w:t>
      </w:r>
    </w:p>
    <w:p>
      <w:r>
        <w:t>A large part of what we do is correspondence. We draft messaging, route it for approval, and keep an announcement's timeline in order, and most of that takes place by email in the days and hours before a company speaks publicly.</w:t>
      </w:r>
    </w:p>
    <w:p>
      <w:r>
        <w:t>In our experience, the preparation around an announcement matters as much as the text of the release. We therefore give a considerable share of each engagement to the questions a company should expect, the answers its own records can support, and the order in which its audiences ought to hear the news.</w:t>
      </w:r>
    </w:p>
    <w:p>
      <w:pPr>
        <w:pStyle w:val="Heading2"/>
      </w:pPr>
      <w:r>
        <w:t>Lines of service</w:t>
      </w:r>
    </w:p>
    <w:p>
      <w:r>
        <w:t>Our advice is organized around the services set out below. They overlap in practice, and a single engagement will often draw on more than one of them. The descriptions are indicative rather than exhaustive, and the scope of any engagement is agreed with the client at the outset.</w:t>
      </w:r>
    </w:p>
    <w:tbl>
      <w:tblPr>
        <w:tblStyle w:val="TableGrid"/>
        <w:tblW w:type="auto" w:w="0"/>
        <w:tblLook w:firstColumn="1" w:firstRow="1" w:lastColumn="0" w:lastRow="0" w:noHBand="0" w:noVBand="1" w:val="04A0"/>
      </w:tblPr>
      <w:tblGrid>
        <w:gridCol w:w="4320"/>
        <w:gridCol w:w="4320"/>
      </w:tblGrid>
      <w:tr>
        <w:tc>
          <w:tcPr>
            <w:tcW w:type="dxa" w:w="4320"/>
          </w:tcPr>
          <w:p>
            <w:r>
              <w:rPr>
                <w:b/>
              </w:rPr>
              <w:t>Service</w:t>
            </w:r>
          </w:p>
        </w:tc>
        <w:tc>
          <w:tcPr>
            <w:tcW w:type="dxa" w:w="4320"/>
          </w:tcPr>
          <w:p>
            <w:r>
              <w:rPr>
                <w:b/>
              </w:rPr>
              <w:t>What it generally involves</w:t>
            </w:r>
          </w:p>
        </w:tc>
      </w:tr>
      <w:tr>
        <w:tc>
          <w:tcPr>
            <w:tcW w:type="dxa" w:w="4320"/>
          </w:tcPr>
          <w:p>
            <w:r>
              <w:t>Corporate positioning</w:t>
            </w:r>
          </w:p>
        </w:tc>
        <w:tc>
          <w:tcPr>
            <w:tcW w:type="dxa" w:w="4320"/>
          </w:tcPr>
          <w:p>
            <w:r>
              <w:t>A single, consistent account of the company's strategy and prospects, suitable for management, the board, and the investor materials alike</w:t>
            </w:r>
          </w:p>
        </w:tc>
      </w:tr>
      <w:tr>
        <w:tc>
          <w:tcPr>
            <w:tcW w:type="dxa" w:w="4320"/>
          </w:tcPr>
          <w:p>
            <w:r>
              <w:t>Investor relations</w:t>
            </w:r>
          </w:p>
        </w:tc>
        <w:tc>
          <w:tcPr>
            <w:tcW w:type="dxa" w:w="4320"/>
          </w:tcPr>
          <w:p>
            <w:r>
              <w:t>Earnings materials, talking points for management, preparation for analyst calls, and the planning of investor outreach</w:t>
            </w:r>
          </w:p>
        </w:tc>
      </w:tr>
      <w:tr>
        <w:tc>
          <w:tcPr>
            <w:tcW w:type="dxa" w:w="4320"/>
          </w:tcPr>
          <w:p>
            <w:r>
              <w:t>Announcements and media relations</w:t>
            </w:r>
          </w:p>
        </w:tc>
        <w:tc>
          <w:tcPr>
            <w:tcW w:type="dxa" w:w="4320"/>
          </w:tcPr>
          <w:p>
            <w:r>
              <w:t>The drafting and timing of releases, wire distribution and embargo arrangements, and the handling of press inquiries</w:t>
            </w:r>
          </w:p>
        </w:tc>
      </w:tr>
      <w:tr>
        <w:tc>
          <w:tcPr>
            <w:tcW w:type="dxa" w:w="4320"/>
          </w:tcPr>
          <w:p>
            <w:r>
              <w:t>Executive messaging</w:t>
            </w:r>
          </w:p>
        </w:tc>
        <w:tc>
          <w:tcPr>
            <w:tcW w:type="dxa" w:w="4320"/>
          </w:tcPr>
          <w:p>
            <w:r>
              <w:t>Remarks, letters, and prepared answers that a senior executive delivers in his or her own name</w:t>
            </w:r>
          </w:p>
        </w:tc>
      </w:tr>
      <w:tr>
        <w:tc>
          <w:tcPr>
            <w:tcW w:type="dxa" w:w="4320"/>
          </w:tcPr>
          <w:p>
            <w:r>
              <w:t>Reputation and issues</w:t>
            </w:r>
          </w:p>
        </w:tc>
        <w:tc>
          <w:tcPr>
            <w:tcW w:type="dxa" w:w="4320"/>
          </w:tcPr>
          <w:p>
            <w:r>
              <w:t>A review of how the company is presently understood, and counsel when a matter becomes public before the company is ready to address it</w:t>
            </w:r>
          </w:p>
        </w:tc>
      </w:tr>
    </w:tbl>
    <w:p>
      <w:pPr>
        <w:pStyle w:val="Heading2"/>
      </w:pPr>
      <w:r>
        <w:t>Illustrative engagements</w:t>
      </w:r>
    </w:p>
    <w:p>
      <w:r>
        <w:t>We describe a client's work only after the engagement has concluded. The two examples below are offered to show the range of the practice; they are illustrations, not a list of the companies we have advised.</w:t>
      </w:r>
    </w:p>
    <w:p>
      <w:r>
        <w:t>For Barrera Group, we developed a corporate positioning: one account of the business that its leadership, its investor materials, and its dealings with the press could all draw on. The work began with interviews across the leadership team and a review of how the company had been described in coverage, and it concluded with a positioning statement and the supporting messages beneath it.</w:t>
      </w:r>
    </w:p>
    <w:p>
      <w:r>
        <w:t>For Castaneda, Adams and Davis, we conducted an investor relations program across successive reporting periods. We prepared earnings materials and management talking points, readied the company's spokespeople for analyst calls, and helped the company describe its results consistently from one period to the next.</w:t>
      </w:r>
    </w:p>
    <w:p>
      <w:pPr>
        <w:pStyle w:val="Heading2"/>
      </w:pPr>
      <w:r>
        <w:t>How we conduct an engagement</w:t>
      </w:r>
    </w:p>
    <w:p>
      <w:r>
        <w:t>Each engagement opens with a signed engagement letter and a kickoff memo, which together record the scope, the people involved on both sides, and the decisions the client reserves to itself. The work then proceeds largely by email, in threads that keep a plain record of what was proposed, what was approved, and by whom.</w:t>
      </w:r>
    </w:p>
    <w:p>
      <w:r>
        <w:t>Nothing we draft is released without the client's express approval. Where an announcement involves an embargo or wire distribution, we coordinate the timing with the client's legal and finance teams and confirm each step before the next one begins.</w:t>
      </w:r>
    </w:p>
    <w:p>
      <w:pPr>
        <w:pStyle w:val="Heading2"/>
      </w:pPr>
      <w:r>
        <w:t>Leadership</w:t>
      </w:r>
    </w:p>
    <w:p>
      <w:r>
        <w:t>The firm is led by Julie Hill, Managing Partner, who reviews each client announcement before it is released. Her own background is in corporate investor relations, and her review of a draft begins with how it will sound to the analysts and investors who will hear it. Each client relationship is also overseen by a partner, who remains its point of escalation for as long as the engagement runs.</w:t>
      </w:r>
    </w:p>
    <w:p>
      <w:pPr>
        <w:pStyle w:val="Heading2"/>
      </w:pPr>
      <w:r>
        <w:t>Initial inquiries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 (draft)</dc:title>
  <dc:subject/>
  <dc:creator>Julie Hill</dc:creator>
  <cp:keywords/>
  <dc:description>generated by python-docx</dc:description>
  <cp:lastModifiedBy>Julie Hill</cp:lastModifiedBy>
  <cp:revision>1</cp:revision>
  <dcterms:created xsi:type="dcterms:W3CDTF">2020-03-16T09:00:00Z</dcterms:created>
  <dcterms:modified xsi:type="dcterms:W3CDTF">2020-03-16T09:00:00Z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