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New Staff Record</w:t>
      </w:r>
    </w:p>
    <w:tbl>
      <w:tblPr>
        <w:tblStyle w:val="TableGrid"/>
        <w:tblW w:type="auto" w:w="0"/>
        <w:tblLook w:firstColumn="1" w:firstRow="1" w:lastColumn="0" w:lastRow="0" w:noHBand="0" w:noVBand="1" w:val="04A0"/>
      </w:tblPr>
      <w:tblGrid>
        <w:gridCol w:w="4320"/>
        <w:gridCol w:w="4320"/>
      </w:tblGrid>
      <w:tr>
        <w:tc>
          <w:tcPr>
            <w:tcW w:type="dxa" w:w="4320"/>
          </w:tcPr>
          <w:p>
            <w:r>
              <w:rPr>
                <w:b/>
              </w:rPr>
              <w:t>Particular</w:t>
            </w:r>
          </w:p>
        </w:tc>
        <w:tc>
          <w:tcPr>
            <w:tcW w:type="dxa" w:w="4320"/>
          </w:tcPr>
          <w:p>
            <w:r>
              <w:rPr>
                <w:b/>
              </w:rPr>
              <w:t>Detail</w:t>
            </w:r>
          </w:p>
        </w:tc>
      </w:tr>
      <w:tr>
        <w:tc>
          <w:tcPr>
            <w:tcW w:type="dxa" w:w="4320"/>
          </w:tcPr>
          <w:p>
            <w:r>
              <w:t>Name</w:t>
            </w:r>
          </w:p>
        </w:tc>
        <w:tc>
          <w:tcPr>
            <w:tcW w:type="dxa" w:w="4320"/>
          </w:tcPr>
          <w:p>
            <w:r>
              <w:t>Sandra Mcdonald</w:t>
            </w:r>
          </w:p>
        </w:tc>
      </w:tr>
      <w:tr>
        <w:tc>
          <w:tcPr>
            <w:tcW w:type="dxa" w:w="4320"/>
          </w:tcPr>
          <w:p>
            <w:r>
              <w:t>Position</w:t>
            </w:r>
          </w:p>
        </w:tc>
        <w:tc>
          <w:tcPr>
            <w:tcW w:type="dxa" w:w="4320"/>
          </w:tcPr>
          <w:p>
            <w:r>
              <w:t>Client Coordinator</w:t>
            </w:r>
          </w:p>
        </w:tc>
      </w:tr>
      <w:tr>
        <w:tc>
          <w:tcPr>
            <w:tcW w:type="dxa" w:w="4320"/>
          </w:tcPr>
          <w:p>
            <w:r>
              <w:t>Group</w:t>
            </w:r>
          </w:p>
        </w:tc>
        <w:tc>
          <w:tcPr>
            <w:tcW w:type="dxa" w:w="4320"/>
          </w:tcPr>
          <w:p>
            <w:r>
              <w:t>Operations</w:t>
            </w:r>
          </w:p>
        </w:tc>
      </w:tr>
      <w:tr>
        <w:tc>
          <w:tcPr>
            <w:tcW w:type="dxa" w:w="4320"/>
          </w:tcPr>
          <w:p>
            <w:r>
              <w:t>Reports to</w:t>
            </w:r>
          </w:p>
        </w:tc>
        <w:tc>
          <w:tcPr>
            <w:tcW w:type="dxa" w:w="4320"/>
          </w:tcPr>
          <w:p>
            <w:r>
              <w:t>Lisa Flores, Director of Operations</w:t>
            </w:r>
          </w:p>
        </w:tc>
      </w:tr>
      <w:tr>
        <w:tc>
          <w:tcPr>
            <w:tcW w:type="dxa" w:w="4320"/>
          </w:tcPr>
          <w:p>
            <w:r>
              <w:t>Record prepared by</w:t>
            </w:r>
          </w:p>
        </w:tc>
        <w:tc>
          <w:tcPr>
            <w:tcW w:type="dxa" w:w="4320"/>
          </w:tcPr>
          <w:p>
            <w:r>
              <w:t>Julie Hill, Managing Partner</w:t>
            </w:r>
          </w:p>
        </w:tc>
      </w:tr>
    </w:tbl>
    <w:p>
      <w:r>
        <w:t>We are glad to welcome Sandra Mcdonald to the firm. She takes up the Client Coordinator position in Operations, a role that exists so that the scheduling, travel, and practical arrangements around our client meetings rest with one person who can see all of them at once.</w:t>
      </w:r>
    </w:p>
    <w:p>
      <w:r>
        <w:t>Sandra will coordinate calendars across the advisory bench, arrange travel, and manage the logistics of client meetings, from rooms and materials to the confirmations that go out beforehand. She will also be the first point of contact for a client's office when a meeting needs to be arranged or moved. Where two calendars disagree, we would ask her to resolve the difference with the people concerned and to confirm the outcome in writing, since a meeting entered at one time on one calendar and at another time on a second is the most common way for a small office to miss a commitment.</w:t>
      </w:r>
    </w:p>
    <w:p>
      <w:r>
        <w:t>During her first weeks Sandra will work alongside the operations team to learn the shared calendar, the shared mailbox, and the firm's filing conventions, and building access and a firm email account will be ready for her first day. Questions about the firm's systems or paperwork should go to Lisa Flores in the first instance. We do not expect her to take sole charge of any advisor's schedule until she has seen how each of them works, and Lisa Flores will decide the pace at which that responsibility passes to her.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Sandra Mcdonald (v3)</dc:title>
  <dc:subject/>
  <dc:creator>Julie Hill</dc:creator>
  <cp:keywords/>
  <dc:description>generated by python-docx</dc:description>
  <cp:lastModifiedBy>Julie Hill</cp:lastModifiedBy>
  <cp:revision>1</cp:revision>
  <dcterms:created xsi:type="dcterms:W3CDTF">2019-02-03T09:00:00Z</dcterms:created>
  <dcterms:modified xsi:type="dcterms:W3CDTF">2019-02-03T09:00:00Z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