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Trademark Clearance</w:t>
      </w:r>
    </w:p>
    <w:p>
      <w:r>
        <w:t>Privileged and Confidential. Prepared at the direction of counsel.</w:t>
      </w:r>
    </w:p>
    <w:p>
      <w:r>
        <w:t>Prepared for Jackson Inc by Ashley Williams, Patent Agent. Responsible partner: Mary Bradley, Managing Partner.</w:t>
      </w:r>
    </w:p>
    <w:p>
      <w:pPr>
        <w:pStyle w:val="Heading2"/>
      </w:pPr>
      <w:r>
        <w:t>The Matter at Its Midpoint</w:t>
      </w:r>
    </w:p>
    <w:p>
      <w:r>
        <w:t>The clearance work has reached its midpoint on schedule. The search phase is finished and the written analysis has begun. We are working within the agreed fee.</w:t>
      </w:r>
    </w:p>
    <w:p>
      <w:r>
        <w:t>No mark has been cleared yet. A view on each candidate will come from Mary Bradley, in writing, once the analysis behind it has been reviewed. Nothing in this report should be read as that view.</w:t>
      </w:r>
    </w:p>
    <w:p>
      <w:pPr>
        <w:pStyle w:val="Heading2"/>
      </w:pPr>
      <w:r>
        <w:t>Progress Since the Working Session</w:t>
      </w:r>
    </w:p>
    <w:p>
      <w:r>
        <w:t>We have made steady progress since we met with your team. Each item below is complete as of this report.</w:t>
      </w:r>
    </w:p>
    <w:p>
      <w:pPr>
        <w:pStyle w:val="ListBullet"/>
      </w:pPr>
      <w:r>
        <w:t>Review of the full search reports for every candidate mark, covering federal and state registrations, common-law use and domain names.</w:t>
      </w:r>
    </w:p>
    <w:p>
      <w:pPr>
        <w:pStyle w:val="ListBullet"/>
      </w:pPr>
      <w:r>
        <w:t>A draft analysis of your preferred candidate, prepared by Ashley Williams with Kelly Snyder. It is now with Mary Bradley for review.</w:t>
      </w:r>
    </w:p>
    <w:p>
      <w:pPr>
        <w:pStyle w:val="ListBullet"/>
      </w:pPr>
      <w:r>
        <w:t>A short list of unregistered users that, in our judgment, warrant a use investigation. Kelly Snyder has obtained a quote for the investigator's work, and it has gone to your team for approval.</w:t>
      </w:r>
    </w:p>
    <w:p>
      <w:pPr>
        <w:pStyle w:val="ListBullet"/>
      </w:pPr>
      <w:r>
        <w:t>Your team's written confirmation of the goods and services description, and its ranking of the candidate marks.</w:t>
      </w:r>
    </w:p>
    <w:p>
      <w:pPr>
        <w:pStyle w:val="ListBullet"/>
      </w:pPr>
      <w:r>
        <w:t>Docket entries for every open item, including partner review of each analysis and follow-up on the investigation quote.</w:t>
      </w:r>
    </w:p>
    <w:p>
      <w:pPr>
        <w:pStyle w:val="Heading3"/>
      </w:pPr>
      <w:r>
        <w:t>What the Searches Showed</w:t>
      </w:r>
    </w:p>
    <w:p>
      <w:r>
        <w:t>The registrations gave us the clearer picture. Some candidates share a dominant term with registered marks for related goods. The analysis weighs each of those on its own facts.</w:t>
      </w:r>
    </w:p>
    <w:p>
      <w:r>
        <w:t>The common-law results were harder to read. A website or trade listing rarely shows how long a mark has been in use, or across how wide an area. That gap is the reason we have recommended investigation rather than reaching a view from the report alone.</w:t>
      </w:r>
    </w:p>
    <w:p>
      <w:r>
        <w:t>The domain-name results added little that the other searches had not already shown. Where a registered domain matched a candidate, we checked whether a business was actually trading from it.</w:t>
      </w:r>
    </w:p>
    <w:p>
      <w:pPr>
        <w:pStyle w:val="Heading2"/>
      </w:pPr>
      <w:r>
        <w:t>Work Ahead</w:t>
      </w:r>
    </w:p>
    <w:p>
      <w:r>
        <w:t>Our work for the coming period follows the ranking your team sent us. Each item has a named owner and a docket entry.</w:t>
      </w:r>
    </w:p>
    <w:p>
      <w:pPr>
        <w:pStyle w:val="ListBullet"/>
      </w:pPr>
      <w:r>
        <w:t>Final analysis of the preferred candidate, once partner review is complete. Ashley Williams.</w:t>
      </w:r>
    </w:p>
    <w:p>
      <w:pPr>
        <w:pStyle w:val="ListBullet"/>
      </w:pPr>
      <w:r>
        <w:t>Analyses of the remaining candidates, in your ranked order. Ashley Williams, with Kelly Snyder.</w:t>
      </w:r>
    </w:p>
    <w:p>
      <w:pPr>
        <w:pStyle w:val="ListBullet"/>
      </w:pPr>
      <w:r>
        <w:t>Use investigation of any unregistered user your team approves, followed by a revised assessment of the affected mark. Kelly Snyder.</w:t>
      </w:r>
    </w:p>
    <w:p>
      <w:pPr>
        <w:pStyle w:val="ListBullet"/>
      </w:pPr>
      <w:r>
        <w:t>A written view on each candidate mark, qualified and with its reasoning stated. Mary Bradley.</w:t>
      </w:r>
    </w:p>
    <w:p>
      <w:r>
        <w:t>Each written view will follow the same plan. It will set out the goods and services description it relies on, the registrations and uses that bear on the mark, and the reasons for our assessment. Where the evidence is incomplete, the view will say so plainly.</w:t>
      </w:r>
    </w:p>
    <w:p>
      <w:r>
        <w:t>If your team settles on a mark, whether and when to file an application is a separate decision. We will raise it with you once the analysis is final, because the time between clearance and filing carries its own risk, described below.</w:t>
      </w:r>
    </w:p>
    <w:p>
      <w:pPr>
        <w:pStyle w:val="Heading2"/>
      </w:pPr>
      <w:r>
        <w:t>What Could Change the Picture</w:t>
      </w:r>
    </w:p>
    <w:p>
      <w:r>
        <w:t>We list these points so that none of them arrives as a surprise. Each is on the docket and is checked whenever the matter is reviewed.</w:t>
      </w:r>
    </w:p>
    <w:p>
      <w:pPr>
        <w:pStyle w:val="ListBullet"/>
      </w:pPr>
      <w:r>
        <w:t>Later filings. Our searches show the register as it stood when they were run. A third party could file for a similar mark before you do, and the longer the gap before filing, the greater that exposure. If the gap grows, we will recommend an update search.</w:t>
      </w:r>
    </w:p>
    <w:p>
      <w:pPr>
        <w:pStyle w:val="ListBullet"/>
      </w:pPr>
      <w:r>
        <w:t>Unregistered use. A search report cannot show whether an unregistered use is current or how far it reaches. An investigation can move our assessment of a mark in either direction.</w:t>
      </w:r>
    </w:p>
    <w:p>
      <w:pPr>
        <w:pStyle w:val="ListBullet"/>
      </w:pPr>
      <w:r>
        <w:t>Product range. Each analysis relies on the goods and services description your team confirmed. A broader range would need its own search before the mark is used on it.</w:t>
      </w:r>
    </w:p>
    <w:p>
      <w:pPr>
        <w:pStyle w:val="ListBullet"/>
      </w:pPr>
      <w:r>
        <w:t>Timing of decisions. The schedule assumes a prompt answer on the investigation quote. Any delay there moves the final view on the affected mark by the same amount.</w:t>
      </w:r>
    </w:p>
    <w:p>
      <w:pPr>
        <w:pStyle w:val="Heading2"/>
      </w:pPr>
      <w:r>
        <w:t>Fees</w:t>
      </w:r>
    </w:p>
    <w:p>
      <w:r>
        <w:t>The engagement is being carried out for the fixed fee of $48,000 set out in the engagement letter. Work to date is within that fee, and we expect the remaining work to stay within it.</w:t>
      </w:r>
    </w:p>
    <w:p>
      <w:r>
        <w:t>Two kinds of cost sit outside it. An investigator's charges are quoted to your team before anything is ordered. Clearance in other countries would be a separate piece of work, and we would not begin it without your written instruction.</w:t>
      </w:r>
    </w:p>
    <w:p>
      <w:r>
        <w:t>We will send the final analysis of the preferred candidate as soon as Mary Bradley has completed her review. Questions on this report may go to Ashley Williams or to Mary Bradley at any point before then.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Trademark Clearance for Jackson Inc</dc:title>
  <dc:subject/>
  <dc:creator>Ashley Williams</dc:creator>
  <cp:keywords/>
  <dc:description>generated by python-docx</dc:description>
  <cp:lastModifiedBy>Ashley Williams</cp:lastModifiedBy>
  <cp:revision>1</cp:revision>
  <dcterms:created xsi:type="dcterms:W3CDTF">2024-06-06T09:00:00Z</dcterms:created>
  <dcterms:modified xsi:type="dcterms:W3CDTF">2024-06-06T09:00:00Z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