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Prosecution Support: Status at the Midpoint</w:t>
      </w:r>
    </w:p>
    <w:p>
      <w:r>
        <w:t>Prepared for Keith-Duarte by Heather Munoz, Partner, with Kelly Snyder and Joseph Walker, Associates.</w:t>
      </w:r>
    </w:p>
    <w:p>
      <w:pPr>
        <w:pStyle w:val="Heading2"/>
      </w:pPr>
      <w:r>
        <w:t>Where Things Stand</w:t>
      </w:r>
    </w:p>
    <w:p>
      <w:r>
        <w:t>The engagement is on schedule at about its halfway point. No response date has been missed, and none is at risk. Work to date sits inside the fixed fee.</w:t>
      </w:r>
    </w:p>
    <w:p>
      <w:r>
        <w:t>The first response has been filed and the second is in final draft. The main open item is the company's decision on a continuation for the application that appears closest to allowance.</w:t>
      </w:r>
    </w:p>
    <w:p>
      <w:pPr>
        <w:pStyle w:val="Heading2"/>
      </w:pPr>
      <w:r>
        <w:t>Completed So Far</w:t>
      </w:r>
    </w:p>
    <w:p>
      <w:pPr>
        <w:pStyle w:val="ListBullet"/>
      </w:pPr>
      <w:r>
        <w:t>Docket reconciliation. Every pending response date and fee window in the designated applications has been checked against the Patent Office record and entered on our docket. Kelly Snyder rechecks the list each month.</w:t>
      </w:r>
    </w:p>
    <w:p>
      <w:pPr>
        <w:pStyle w:val="ListBullet"/>
      </w:pPr>
      <w:r>
        <w:t>Office action summaries. Each open action has a one-page summary showing the rejections, the response date, and our recommended path. The summaries now lead with the decision needed and its date.</w:t>
      </w:r>
    </w:p>
    <w:p>
      <w:pPr>
        <w:pStyle w:val="ListBullet"/>
      </w:pPr>
      <w:r>
        <w:t>Inventor call. The call with the inventors on the earliest application took place as planned. It confirmed our reading of the device.</w:t>
      </w:r>
    </w:p>
    <w:p>
      <w:pPr>
        <w:pStyle w:val="ListBullet"/>
      </w:pPr>
      <w:r>
        <w:t>First response. The response on the earliest application was filed after the company approved the draft. It answers the main rejection by argument and narrows one dependent claim.</w:t>
      </w:r>
    </w:p>
    <w:p>
      <w:pPr>
        <w:pStyle w:val="ListBullet"/>
      </w:pPr>
      <w:r>
        <w:t>Prior art review. Joseph Walker has finished his review of the references cited in the second application. His notes are with me and are reflected in the final draft.</w:t>
      </w:r>
    </w:p>
    <w:p>
      <w:pPr>
        <w:pStyle w:val="ListBullet"/>
      </w:pPr>
      <w:r>
        <w:t>Continuation recommendation. Our written recommendation on the application closest to allowance has gone to the company, with a cost estimate.</w:t>
      </w:r>
    </w:p>
    <w:p>
      <w:pPr>
        <w:pStyle w:val="Heading2"/>
      </w:pPr>
      <w:r>
        <w:t>Position by Application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Application</w:t>
            </w:r>
          </w:p>
        </w:tc>
        <w:tc>
          <w:tcPr>
            <w:tcW w:type="dxa" w:w="2160"/>
          </w:tcPr>
          <w:p>
            <w:r>
              <w:rPr>
                <w:b/>
              </w:rPr>
              <w:t>Status</w:t>
            </w:r>
          </w:p>
        </w:tc>
        <w:tc>
          <w:tcPr>
            <w:tcW w:type="dxa" w:w="2160"/>
          </w:tcPr>
          <w:p>
            <w:r>
              <w:rPr>
                <w:b/>
              </w:rPr>
              <w:t>Next action</w:t>
            </w:r>
          </w:p>
        </w:tc>
        <w:tc>
          <w:tcPr>
            <w:tcW w:type="dxa" w:w="2160"/>
          </w:tcPr>
          <w:p>
            <w:r>
              <w:rPr>
                <w:b/>
              </w:rPr>
              <w:t>With</w:t>
            </w:r>
          </w:p>
        </w:tc>
      </w:tr>
      <w:tr>
        <w:tc>
          <w:tcPr>
            <w:tcW w:type="dxa" w:w="2160"/>
          </w:tcPr>
          <w:p>
            <w:r>
              <w:t>Earliest application</w:t>
            </w:r>
          </w:p>
        </w:tc>
        <w:tc>
          <w:tcPr>
            <w:tcW w:type="dxa" w:w="2160"/>
          </w:tcPr>
          <w:p>
            <w:r>
              <w:t>Response filed; awaiting the examiner</w:t>
            </w:r>
          </w:p>
        </w:tc>
        <w:tc>
          <w:tcPr>
            <w:tcW w:type="dxa" w:w="2160"/>
          </w:tcPr>
          <w:p>
            <w:r>
              <w:t>Review the next action when it issues</w:t>
            </w:r>
          </w:p>
        </w:tc>
        <w:tc>
          <w:tcPr>
            <w:tcW w:type="dxa" w:w="2160"/>
          </w:tcPr>
          <w:p>
            <w:r>
              <w:t>Kelly Snyder</w:t>
            </w:r>
          </w:p>
        </w:tc>
      </w:tr>
      <w:tr>
        <w:tc>
          <w:tcPr>
            <w:tcW w:type="dxa" w:w="2160"/>
          </w:tcPr>
          <w:p>
            <w:r>
              <w:t>Second application</w:t>
            </w:r>
          </w:p>
        </w:tc>
        <w:tc>
          <w:tcPr>
            <w:tcW w:type="dxa" w:w="2160"/>
          </w:tcPr>
          <w:p>
            <w:r>
              <w:t>Response in final draft</w:t>
            </w:r>
          </w:p>
        </w:tc>
        <w:tc>
          <w:tcPr>
            <w:tcW w:type="dxa" w:w="2160"/>
          </w:tcPr>
          <w:p>
            <w:r>
              <w:t>File on the company's approval</w:t>
            </w:r>
          </w:p>
        </w:tc>
        <w:tc>
          <w:tcPr>
            <w:tcW w:type="dxa" w:w="2160"/>
          </w:tcPr>
          <w:p>
            <w:r>
              <w:t>Joseph Walker</w:t>
            </w:r>
          </w:p>
        </w:tc>
      </w:tr>
      <w:tr>
        <w:tc>
          <w:tcPr>
            <w:tcW w:type="dxa" w:w="2160"/>
          </w:tcPr>
          <w:p>
            <w:r>
              <w:t>Application closest to allowance</w:t>
            </w:r>
          </w:p>
        </w:tc>
        <w:tc>
          <w:tcPr>
            <w:tcW w:type="dxa" w:w="2160"/>
          </w:tcPr>
          <w:p>
            <w:r>
              <w:t>Continuation recommendation sent</w:t>
            </w:r>
          </w:p>
        </w:tc>
        <w:tc>
          <w:tcPr>
            <w:tcW w:type="dxa" w:w="2160"/>
          </w:tcPr>
          <w:p>
            <w:r>
              <w:t>Company decision on a continuation</w:t>
            </w:r>
          </w:p>
        </w:tc>
        <w:tc>
          <w:tcPr>
            <w:tcW w:type="dxa" w:w="2160"/>
          </w:tcPr>
          <w:p>
            <w:r>
              <w:t>Keith-Duarte</w:t>
            </w:r>
          </w:p>
        </w:tc>
      </w:tr>
      <w:tr>
        <w:tc>
          <w:tcPr>
            <w:tcW w:type="dxa" w:w="2160"/>
          </w:tcPr>
          <w:p>
            <w:r>
              <w:t>Remaining designated applications</w:t>
            </w:r>
          </w:p>
        </w:tc>
        <w:tc>
          <w:tcPr>
            <w:tcW w:type="dxa" w:w="2160"/>
          </w:tcPr>
          <w:p>
            <w:r>
              <w:t>No office action outstanding</w:t>
            </w:r>
          </w:p>
        </w:tc>
        <w:tc>
          <w:tcPr>
            <w:tcW w:type="dxa" w:w="2160"/>
          </w:tcPr>
          <w:p>
            <w:r>
              <w:t>Docket watch only</w:t>
            </w:r>
          </w:p>
        </w:tc>
        <w:tc>
          <w:tcPr>
            <w:tcW w:type="dxa" w:w="2160"/>
          </w:tcPr>
          <w:p>
            <w:r>
              <w:t>Kelly Snyder</w:t>
            </w:r>
          </w:p>
        </w:tc>
      </w:tr>
    </w:tbl>
    <w:p>
      <w:pPr>
        <w:pStyle w:val="Heading2"/>
      </w:pPr>
      <w:r>
        <w:t>Next in Line</w:t>
      </w:r>
    </w:p>
    <w:p>
      <w:r>
        <w:t>The remaining work in scope, in the order we expect to take it up:</w:t>
      </w:r>
    </w:p>
    <w:p>
      <w:pPr>
        <w:pStyle w:val="ListBullet"/>
      </w:pPr>
      <w:r>
        <w:t>File the second response once the company approves the final draft.</w:t>
      </w:r>
    </w:p>
    <w:p>
      <w:pPr>
        <w:pStyle w:val="ListBullet"/>
      </w:pPr>
      <w:r>
        <w:t>Act on the company's continuation decision as soon as it arrives.</w:t>
      </w:r>
    </w:p>
    <w:p>
      <w:pPr>
        <w:pStyle w:val="ListBullet"/>
      </w:pPr>
      <w:r>
        <w:t>Answer any new office action in the same summary format, with the draft sent for review well before its due date.</w:t>
      </w:r>
    </w:p>
    <w:p>
      <w:pPr>
        <w:pStyle w:val="ListBullet"/>
      </w:pPr>
      <w:r>
        <w:t>Request an examiner interview on the second application if the written response alone does not look likely to move the examiner.</w:t>
      </w:r>
    </w:p>
    <w:p>
      <w:r>
        <w:t>Each item will reach the company with the decision and its date stated first, as the summaries do now. Drafts will arrive well before their due dates.</w:t>
      </w:r>
    </w:p>
    <w:p>
      <w:pPr>
        <w:pStyle w:val="Heading2"/>
      </w:pPr>
      <w:r>
        <w:t>Budget</w:t>
      </w:r>
    </w:p>
    <w:p>
      <w:r>
        <w:t>The fixed fee for the engagement is $39,500. Work to date falls within it. We expect the remaining work in scope to fall within it as well.</w:t>
      </w:r>
    </w:p>
    <w:p>
      <w:r>
        <w:t>Two kinds of cost sit outside the fee. Official Patent Office fees are billed at cost, as the engagement letter provides. A continuation filing would be a separate matter, estimated in writing before we start.</w:t>
      </w:r>
    </w:p>
    <w:p>
      <w:r>
        <w:t>Kelly Snyder prepared the cost estimate that accompanies our continuation recommendation. It is there so the company can weigh the expense against the claim scope at stake.</w:t>
      </w:r>
    </w:p>
    <w:p>
      <w:pPr>
        <w:pStyle w:val="Heading2"/>
      </w:pPr>
      <w:r>
        <w:t>Risks</w:t>
      </w:r>
    </w:p>
    <w:p>
      <w:r>
        <w:t>None of the following is serious today. Each could become serious if it is left alone.</w:t>
      </w:r>
    </w:p>
    <w:p>
      <w:pPr>
        <w:pStyle w:val="ListBullet"/>
      </w:pPr>
      <w:r>
        <w:t>Continuation timing. If the application is allowed before the company decides, the time to act shortens. Once the patent issues, a continuation can no longer be filed from it.</w:t>
      </w:r>
    </w:p>
    <w:p>
      <w:pPr>
        <w:pStyle w:val="ListBullet"/>
      </w:pPr>
      <w:r>
        <w:t>Examiner response. The argument on the main claim in the first response is, in our judgment, the stronger position. The examiner may not accept it, and a further amendment may then be needed.</w:t>
      </w:r>
    </w:p>
    <w:p>
      <w:pPr>
        <w:pStyle w:val="ListBullet"/>
      </w:pPr>
      <w:r>
        <w:t>Docket changes. A new office action or a notice of allowance sets new dates on that application. Kelly Snyder enters each new date the day the notice arrives and confirms it to the company.</w:t>
      </w:r>
    </w:p>
    <w:p>
      <w:pPr>
        <w:pStyle w:val="ListBullet"/>
      </w:pPr>
      <w:r>
        <w:t>Late office actions. An action that issues late in the engagement may carry a response date that falls after the engagement ends. We will list any such date for the company in writing before we close.</w:t>
      </w:r>
    </w:p>
    <w:p>
      <w:pPr>
        <w:pStyle w:val="Heading2"/>
      </w:pPr>
      <w:r>
        <w:t>Decisions Needed From the Company</w:t>
      </w:r>
    </w:p>
    <w:p>
      <w:r>
        <w:t>Two decisions are open. The first is urgent and the second is not.</w:t>
      </w:r>
    </w:p>
    <w:p>
      <w:pPr>
        <w:pStyle w:val="ListBullet"/>
      </w:pPr>
      <w:r>
        <w:t>Continuation. Please confirm in writing whether the company wants a continuation filed on the application closest to allowance. Our recommendation and the cost estimate set out the basis for each choice.</w:t>
      </w:r>
    </w:p>
    <w:p>
      <w:pPr>
        <w:pStyle w:val="ListBullet"/>
      </w:pPr>
      <w:r>
        <w:t>Second response. Please approve the final draft, or send comments, so that it can be filed well ahead of its due date.</w:t>
      </w:r>
    </w:p>
    <w:p>
      <w:pPr>
        <w:pStyle w:val="Heading2"/>
      </w:pPr>
      <w:r>
        <w:t>Questions</w:t>
      </w:r>
    </w:p>
    <w:p>
      <w:r>
        <w:t>Please send questions on any item to me or to Kelly Snyder. The decision we need first from Keith-Duarte is the continuation instruction.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Prosecution Support for Keith-Duarte</dc:title>
  <dc:subject/>
  <dc:creator>Heather Munoz</dc:creator>
  <cp:keywords/>
  <dc:description>generated by python-docx</dc:description>
  <cp:lastModifiedBy>Heather Munoz</cp:lastModifiedBy>
  <cp:revision>1</cp:revision>
  <dcterms:created xsi:type="dcterms:W3CDTF">2021-10-29T09:00:00Z</dcterms:created>
  <dcterms:modified xsi:type="dcterms:W3CDTF">2021-10-29T09:00:00Z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