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Closing Working Session: Prosecution Support for Keith-Duarte</w:t>
      </w:r>
    </w:p>
    <w:p>
      <w:r>
        <w:t>We finished the working part of the engagement today with every designated application in a settled position and every pending date accounted for, so what remains is the closing letter that hands the docket back to Keith-Duarte.</w:t>
      </w:r>
    </w:p>
    <w:p>
      <w:pPr>
        <w:pStyle w:val="Heading2"/>
      </w:pPr>
      <w:r>
        <w:t>Present</w:t>
      </w:r>
    </w:p>
    <w:p>
      <w:pPr>
        <w:pStyle w:val="ListBullet"/>
      </w:pPr>
      <w:r>
        <w:t>Joseph Palmer, General Manager, Keith-Duarte</w:t>
      </w:r>
    </w:p>
    <w:p>
      <w:pPr>
        <w:pStyle w:val="ListBullet"/>
      </w:pPr>
      <w:r>
        <w:t>Heather Munoz, Partner</w:t>
      </w:r>
    </w:p>
    <w:p>
      <w:pPr>
        <w:pStyle w:val="ListBullet"/>
      </w:pPr>
      <w:r>
        <w:t>Kelly Snyder, Associate</w:t>
      </w:r>
    </w:p>
    <w:p>
      <w:pPr>
        <w:pStyle w:val="ListBullet"/>
      </w:pPr>
      <w:r>
        <w:t>Joseph Walker, Associate, who kept these notes</w:t>
      </w:r>
    </w:p>
    <w:p>
      <w:pPr>
        <w:pStyle w:val="Heading2"/>
      </w:pPr>
      <w:r>
        <w:t>What We Covered</w:t>
      </w:r>
    </w:p>
    <w:p>
      <w:r>
        <w:t>Heather Munoz began with the application that had been closest to allowance, where the company decided, after reading our recommendation and the cost estimate with it, not to pursue a continuation, and the issue fee was paid on its written instruction. Joseph Palmer said again that the allowed claims reach the features the company sells today, and Heather Munoz noted for the file that the decision was his to make and was made with the cost and the risk both in front of him.</w:t>
      </w:r>
    </w:p>
    <w:p>
      <w:r>
        <w:t>Kelly Snyder then took us through the remaining applications one at a time, and we agreed that the second response moved the examiner on the main claim, that the rejection still standing there is a narrow one, and that the next action on it is not expected until after the engagement ends, which means its date belongs on the closing list rather than on our own calendar.</w:t>
      </w:r>
    </w:p>
    <w:p>
      <w:r>
        <w:t>Joseph Walker summarized where the prior art work leaves things: the references the examiners have relied on so far have each been answered, and nothing new has come to our attention that would need to be disclosed, though he was careful to say that this reflects what we have seen in the course of prosecution and is not the result of a search of the field.</w:t>
      </w:r>
    </w:p>
    <w:p>
      <w:r>
        <w:t>We spent the rest of our time on the handover, because that is the point in an engagement where a date can fall between two desks. Joseph Palmer asked that the closing letter go to him with a copy to whoever at the company will hold the docket, and he will name that person in writing; Heather Munoz added that we would be glad to take the applications back up if the company asks.</w:t>
      </w:r>
    </w:p>
    <w:p>
      <w:r>
        <w:t>Kelly Snyder confirmed that the work in scope was completed within the fixed fee, and that the only further charges will be the official fees already paid on the company's instruction, which will appear on the final invoice with their receipts. Joseph Palmer asked that we keep a complete copy of the file after the documents go back, and we confirmed that we will hold it under our usual retention practice.</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When</w:t>
            </w:r>
          </w:p>
        </w:tc>
      </w:tr>
      <w:tr>
        <w:tc>
          <w:tcPr>
            <w:tcW w:type="dxa" w:w="2880"/>
          </w:tcPr>
          <w:p>
            <w:r>
              <w:t>Name, in writing, the person at the company who will hold the docket</w:t>
            </w:r>
          </w:p>
        </w:tc>
        <w:tc>
          <w:tcPr>
            <w:tcW w:type="dxa" w:w="2880"/>
          </w:tcPr>
          <w:p>
            <w:r>
              <w:t>Joseph Palmer</w:t>
            </w:r>
          </w:p>
        </w:tc>
        <w:tc>
          <w:tcPr>
            <w:tcW w:type="dxa" w:w="2880"/>
          </w:tcPr>
          <w:p>
            <w:r>
              <w:t>This week</w:t>
            </w:r>
          </w:p>
        </w:tc>
      </w:tr>
      <w:tr>
        <w:tc>
          <w:tcPr>
            <w:tcW w:type="dxa" w:w="2880"/>
          </w:tcPr>
          <w:p>
            <w:r>
              <w:t>Prepare the closing letter listing every pending response date and fee window in the designated applications</w:t>
            </w:r>
          </w:p>
        </w:tc>
        <w:tc>
          <w:tcPr>
            <w:tcW w:type="dxa" w:w="2880"/>
          </w:tcPr>
          <w:p>
            <w:r>
              <w:t>Kelly Snyder</w:t>
            </w:r>
          </w:p>
        </w:tc>
        <w:tc>
          <w:tcPr>
            <w:tcW w:type="dxa" w:w="2880"/>
          </w:tcPr>
          <w:p>
            <w:r>
              <w:t>Once the docket holder is named</w:t>
            </w:r>
          </w:p>
        </w:tc>
      </w:tr>
      <w:tr>
        <w:tc>
          <w:tcPr>
            <w:tcW w:type="dxa" w:w="2880"/>
          </w:tcPr>
          <w:p>
            <w:r>
              <w:t>Review and sign the closing letter</w:t>
            </w:r>
          </w:p>
        </w:tc>
        <w:tc>
          <w:tcPr>
            <w:tcW w:type="dxa" w:w="2880"/>
          </w:tcPr>
          <w:p>
            <w:r>
              <w:t>Heather Munoz</w:t>
            </w:r>
          </w:p>
        </w:tc>
        <w:tc>
          <w:tcPr>
            <w:tcW w:type="dxa" w:w="2880"/>
          </w:tcPr>
          <w:p>
            <w:r>
              <w:t>On receipt of the draft</w:t>
            </w:r>
          </w:p>
        </w:tc>
      </w:tr>
      <w:tr>
        <w:tc>
          <w:tcPr>
            <w:tcW w:type="dxa" w:w="2880"/>
          </w:tcPr>
          <w:p>
            <w:r>
              <w:t>Return the company's original documents and confirm the file index</w:t>
            </w:r>
          </w:p>
        </w:tc>
        <w:tc>
          <w:tcPr>
            <w:tcW w:type="dxa" w:w="2880"/>
          </w:tcPr>
          <w:p>
            <w:r>
              <w:t>Joseph Walker</w:t>
            </w:r>
          </w:p>
        </w:tc>
        <w:tc>
          <w:tcPr>
            <w:tcW w:type="dxa" w:w="2880"/>
          </w:tcPr>
          <w:p>
            <w:r>
              <w:t>With the closing letter</w:t>
            </w:r>
          </w:p>
        </w:tc>
      </w:tr>
    </w:tbl>
    <w:p>
      <w:r>
        <w:t>Everything else is now waiting on Joseph Palmer's written note naming the company's docket holder, and Kelly Snyder will start the closing letter the day it arrives.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Prosecution Support for Keith-Duarte</dc:title>
  <dc:subject/>
  <dc:creator>Joseph Walker</dc:creator>
  <cp:keywords/>
  <dc:description>generated by python-docx</dc:description>
  <cp:lastModifiedBy>Joseph Walker</cp:lastModifiedBy>
  <cp:revision>1</cp:revision>
  <dcterms:created xsi:type="dcterms:W3CDTF">2022-01-11T09:00:00Z</dcterms:created>
  <dcterms:modified xsi:type="dcterms:W3CDTF">2022-01-11T09:00:00Z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