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PRIVILEGED AND CONFIDENTIAL</w:t>
        <w:br/>
        <w:t>ATTORNEY WORK PRODUCT</w:t>
      </w:r>
    </w:p>
    <w:p>
      <w:r>
        <w:t>To: Heather Munoz; Kelly Snyder</w:t>
        <w:br/>
        <w:t>From: Richard Henderson</w:t>
        <w:br/>
        <w:t>Re: Kickoff, freedom-to-operate analysis for Middleton, Sullivan and Wiley</w:t>
      </w:r>
    </w:p>
    <w:p>
      <w:pPr>
        <w:pStyle w:val="Heading1"/>
      </w:pPr>
      <w:r>
        <w:t>What the opinion has to answer</w:t>
      </w:r>
    </w:p>
    <w:p>
      <w:r>
        <w:t>We owe Middleton, Sullivan and Wiley one opinion, signed by Heather Munoz. It says whether the client's launch product can be sold in the United States without infringing a live claim. Everything below exists to put the evidence for that opinion in front of her in a form she can check.</w:t>
      </w:r>
    </w:p>
    <w:p>
      <w:r>
        <w:t>The engagement began on May 12, 2020. The fee is fixed, so time spent outside the scope of the engagement letter comes out of the firm. If a request looks like new work, raise it with Heather before doing it.</w:t>
      </w:r>
    </w:p>
    <w:p>
      <w:r>
        <w:t>Our contact at the client is Barbara Blair, Director of Operations. Document requests go through her and nobody else. That way we keep one record of what we asked for and what arrived.</w:t>
      </w:r>
    </w:p>
    <w:p>
      <w:r>
        <w:t>We do not yet have the product documents. Until we do, any assumption about the design is provisional. Write it down in the matter file so Heather can see it and strike it if it is wrong.</w:t>
      </w:r>
    </w:p>
    <w:p>
      <w:pPr>
        <w:pStyle w:val="Heading1"/>
      </w:pPr>
      <w:r>
        <w:t>The work, in order</w:t>
      </w:r>
    </w:p>
    <w:p>
      <w:pPr>
        <w:pStyle w:val="ListBullet"/>
      </w:pPr>
      <w:r>
        <w:t>1. Product definition. Barbara Blair sends drawings, specification, bill of materials, and a feature list for the launch configuration. We freeze one revision and analyze that revision only. A later revision is a scope change and goes to Heather before anyone works on it.</w:t>
      </w:r>
    </w:p>
    <w:p>
      <w:pPr>
        <w:pStyle w:val="ListBullet"/>
      </w:pPr>
      <w:r>
        <w:t>2. Search. Kelly Snyder runs the first pass: classification, keyword, and forward and backward citation from any reference the client already knows of. Every query goes in the search log with its date and database.</w:t>
      </w:r>
    </w:p>
    <w:p>
      <w:pPr>
        <w:pStyle w:val="ListBullet"/>
      </w:pPr>
      <w:r>
        <w:t>3. Screen. I read the first pass against the feature list and put each reference in one of three groups: remote, second read, chart. Kelly takes the second reads.</w:t>
      </w:r>
    </w:p>
    <w:p>
      <w:pPr>
        <w:pStyle w:val="ListBullet"/>
      </w:pPr>
      <w:r>
        <w:t>4. Claim charts. I chart each independent claim in the chart group, element by element, against the frozen revision. Dependent claims get charted only where the independent claim is close.</w:t>
      </w:r>
    </w:p>
    <w:p>
      <w:pPr>
        <w:pStyle w:val="ListBullet"/>
      </w:pPr>
      <w:r>
        <w:t>5. File histories. For every charted patent we order the file history and note each amendment and argument that narrowed the claim. Most of our non-infringement positions will come from there.</w:t>
      </w:r>
    </w:p>
    <w:p>
      <w:pPr>
        <w:pStyle w:val="ListBullet"/>
      </w:pPr>
      <w:r>
        <w:t>6. Design-around notes. Where a claim reads, or nearly reads, I record what the product would have to change to avoid it. The client's engineers judge what the change costs. We judge whether it avoids the claim.</w:t>
      </w:r>
    </w:p>
    <w:p>
      <w:pPr>
        <w:pStyle w:val="ListBullet"/>
      </w:pPr>
      <w:r>
        <w:t>7. Opinion. Heather drafts and signs. Kelly and I assemble the appendix: search log, reference list, claim charts, and file history notes.</w:t>
      </w:r>
    </w:p>
    <w:p>
      <w:r>
        <w:t>Items 2 through 6 will overlap once the search is running. Item 1 will not. Nothing gets charted against a revision we have not frozen.</w:t>
      </w:r>
    </w:p>
    <w:p>
      <w:r>
        <w:t>Kelly has asked that we track hours against each item from the first day, given the fixed fee. I agree. Log time to the item number, not only to the matter, so that Heather can see which items are using the budget.</w:t>
      </w:r>
    </w:p>
    <w:p>
      <w:pPr>
        <w:pStyle w:val="Heading1"/>
      </w:pPr>
      <w:r>
        <w:t>Before the end of next week</w:t>
      </w:r>
    </w:p>
    <w:p>
      <w:r>
        <w:t>The search cannot start properly until the configuration is fixed. So the document request goes out first, and the rest waits on it.</w:t>
      </w:r>
    </w:p>
    <w:p>
      <w:pPr>
        <w:pStyle w:val="ListBullet"/>
      </w:pPr>
      <w:r>
        <w:t>I will send Barbara Blair the document request early next week, with a short note on what we mean by launch configuration.</w:t>
      </w:r>
    </w:p>
    <w:p>
      <w:pPr>
        <w:pStyle w:val="ListBullet"/>
      </w:pPr>
      <w:r>
        <w:t>Kelly: set up the search log and the reference tracker in the matter folder, and draft the first classification list as soon as the feature list arrives.</w:t>
      </w:r>
    </w:p>
    <w:p>
      <w:pPr>
        <w:pStyle w:val="ListBullet"/>
      </w:pPr>
      <w:r>
        <w:t>Heather: confirm how we treat applications that publish after the search closes, and whether you want the cutoff stated on the face of the opinion.</w:t>
      </w:r>
    </w:p>
    <w:p>
      <w:pPr>
        <w:pStyle w:val="ListBullet"/>
      </w:pPr>
      <w:r>
        <w:t>Docketing: calendar a monthly check of newly published applications in our classes for the life of the engagement, starting when the search closes.</w:t>
      </w:r>
    </w:p>
    <w:p>
      <w:r>
        <w:t>If anything here conflicts with the engagement letter, the letter controls. Tell me and I will correct this memo.</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Freedom-to-Operate Analysis for Middleton, Sullivan and Wiley</dc:title>
  <dc:subject/>
  <dc:creator>Richard Henderson</dc:creator>
  <cp:keywords/>
  <dc:description>generated by python-docx</dc:description>
  <cp:lastModifiedBy>Richard Henderson</cp:lastModifiedBy>
  <cp:revision>1</cp:revision>
  <dcterms:created xsi:type="dcterms:W3CDTF">2020-05-15T09:00:00Z</dcterms:created>
  <dcterms:modified xsi:type="dcterms:W3CDTF">2020-05-15T09:00:00Z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